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4ADA"/>
          <w:sz w:val="40"/>
        </w:rPr>
        <w:t>Structural Comparison of EIS APIs</w:t>
        <w:br/>
        <w:t>Purchase &amp; Cancellation (Coppel vs ScotiaBank)</w:t>
      </w:r>
    </w:p>
    <w:p>
      <w:pPr>
        <w:jc w:val="center"/>
      </w:pPr>
      <w:r>
        <w:rPr>
          <w:i/>
          <w:sz w:val="24"/>
        </w:rPr>
        <w:t>Dr. Anis Kedidi – IBM Cloud Architect &amp; EIS Expert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br/>
        <w:t>This document provides a detailed comparative analysis between the EIS APIs used by Coppel and ScotiaBank</w:t>
        <w:br/>
        <w:t xml:space="preserve">for Sales (Purchase API) and Post-Sales (Cancellation API) operations. </w:t>
        <w:br/>
        <w:t>The objective is to highlight the structural differences in the JSON models, data formats, and integration patterns,</w:t>
        <w:br/>
        <w:t>while maintaining a functional overview of insurance domain specifications.</w:t>
        <w:br/>
      </w:r>
    </w:p>
    <w:p>
      <w:pPr>
        <w:pStyle w:val="Heading1"/>
      </w:pPr>
      <w:r>
        <w:t>2. Purchase API – Structural Comparison</w:t>
      </w:r>
    </w:p>
    <w:p>
      <w:pPr>
        <w:pStyle w:val="Heading2"/>
      </w:pPr>
      <w:r>
        <w:t>2.1 General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/mx/coppel/flex-cpi/sales-aso/v1/policies/purchase</w:t>
            </w:r>
          </w:p>
        </w:tc>
        <w:tc>
          <w:tcPr>
            <w:tcW w:type="dxa" w:w="2160"/>
          </w:tcPr>
          <w:p>
            <w:r>
              <w:t>/mx/bns/financial-product/v1/policies/purchase</w:t>
            </w:r>
          </w:p>
        </w:tc>
        <w:tc>
          <w:tcPr>
            <w:tcW w:type="dxa" w:w="2160"/>
          </w:tcPr>
          <w:p>
            <w:r>
              <w:t>Different persona and path</w:t>
            </w:r>
          </w:p>
        </w:tc>
      </w:tr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No difference</w:t>
            </w:r>
          </w:p>
        </w:tc>
      </w:tr>
      <w:tr>
        <w:tc>
          <w:tcPr>
            <w:tcW w:type="dxa" w:w="2160"/>
          </w:tcPr>
          <w:p>
            <w:r>
              <w:t>Integration Type</w:t>
            </w:r>
          </w:p>
        </w:tc>
        <w:tc>
          <w:tcPr>
            <w:tcW w:type="dxa" w:w="2160"/>
          </w:tcPr>
          <w:p>
            <w:r>
              <w:t>Sync (API)</w:t>
            </w:r>
          </w:p>
        </w:tc>
        <w:tc>
          <w:tcPr>
            <w:tcW w:type="dxa" w:w="2160"/>
          </w:tcPr>
          <w:p>
            <w:r>
              <w:t>Async (API)</w:t>
            </w:r>
          </w:p>
        </w:tc>
        <w:tc>
          <w:tcPr>
            <w:tcW w:type="dxa" w:w="2160"/>
          </w:tcPr>
          <w:p>
            <w:r>
              <w:t>Functional difference</w:t>
            </w:r>
          </w:p>
        </w:tc>
      </w:tr>
    </w:tbl>
    <w:p>
      <w:pPr>
        <w:pStyle w:val="Heading2"/>
      </w:pPr>
      <w:r>
        <w:t>2.2 JSON Structure –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 / Block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Global structure</w:t>
            </w:r>
          </w:p>
        </w:tc>
        <w:tc>
          <w:tcPr>
            <w:tcW w:type="dxa" w:w="2160"/>
          </w:tcPr>
          <w:p>
            <w:r>
              <w:t>Single 'policy' object</w:t>
            </w:r>
          </w:p>
        </w:tc>
        <w:tc>
          <w:tcPr>
            <w:tcW w:type="dxa" w:w="2160"/>
          </w:tcPr>
          <w:p>
            <w:r>
              <w:t>Multiple objects: product, salesChannel, term, premium, payment</w:t>
            </w:r>
          </w:p>
        </w:tc>
        <w:tc>
          <w:tcPr>
            <w:tcW w:type="dxa" w:w="2160"/>
          </w:tcPr>
          <w:p>
            <w:r>
              <w:t>Completely different structure</w:t>
            </w:r>
          </w:p>
        </w:tc>
      </w:tr>
      <w:tr>
        <w:tc>
          <w:tcPr>
            <w:tcW w:type="dxa" w:w="2160"/>
          </w:tcPr>
          <w:p>
            <w:r>
              <w:t>Transaction ID</w:t>
            </w:r>
          </w:p>
        </w:tc>
        <w:tc>
          <w:tcPr>
            <w:tcW w:type="dxa" w:w="2160"/>
          </w:tcPr>
          <w:p>
            <w:r>
              <w:t>Present (UUID)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Structural difference</w:t>
            </w:r>
          </w:p>
        </w:tc>
      </w:tr>
      <w:tr>
        <w:tc>
          <w:tcPr>
            <w:tcW w:type="dxa" w:w="2160"/>
          </w:tcPr>
          <w:p>
            <w:r>
              <w:t>Loan Information</w:t>
            </w:r>
          </w:p>
        </w:tc>
        <w:tc>
          <w:tcPr>
            <w:tcW w:type="dxa" w:w="2160"/>
          </w:tcPr>
          <w:p>
            <w:r>
              <w:t>loanInformation[ ] block</w:t>
            </w:r>
          </w:p>
        </w:tc>
        <w:tc>
          <w:tcPr>
            <w:tcW w:type="dxa" w:w="2160"/>
          </w:tcPr>
          <w:p>
            <w:r>
              <w:t>No equivalent block</w:t>
            </w:r>
          </w:p>
        </w:tc>
        <w:tc>
          <w:tcPr>
            <w:tcW w:type="dxa" w:w="2160"/>
          </w:tcPr>
          <w:p>
            <w:r>
              <w:t>Structural difference</w:t>
            </w:r>
          </w:p>
        </w:tc>
      </w:tr>
      <w:tr>
        <w:tc>
          <w:tcPr>
            <w:tcW w:type="dxa" w:w="2160"/>
          </w:tcPr>
          <w:p>
            <w:r>
              <w:t>Product / Policy</w:t>
            </w:r>
          </w:p>
        </w:tc>
        <w:tc>
          <w:tcPr>
            <w:tcW w:type="dxa" w:w="2160"/>
          </w:tcPr>
          <w:p>
            <w:r>
              <w:t>policy.productCode</w:t>
            </w:r>
          </w:p>
        </w:tc>
        <w:tc>
          <w:tcPr>
            <w:tcW w:type="dxa" w:w="2160"/>
          </w:tcPr>
          <w:p>
            <w:r>
              <w:t>product.productCode (sub-object)</w:t>
            </w:r>
          </w:p>
        </w:tc>
        <w:tc>
          <w:tcPr>
            <w:tcW w:type="dxa" w:w="2160"/>
          </w:tcPr>
          <w:p>
            <w:r>
              <w:t>Structural difference</w:t>
            </w:r>
          </w:p>
        </w:tc>
      </w:tr>
      <w:tr>
        <w:tc>
          <w:tcPr>
            <w:tcW w:type="dxa" w:w="2160"/>
          </w:tcPr>
          <w:p>
            <w:r>
              <w:t>Dates</w:t>
            </w:r>
          </w:p>
        </w:tc>
        <w:tc>
          <w:tcPr>
            <w:tcW w:type="dxa" w:w="2160"/>
          </w:tcPr>
          <w:p>
            <w:r>
              <w:t>loanStartDate (YYYY-MM-DD)</w:t>
            </w:r>
          </w:p>
        </w:tc>
        <w:tc>
          <w:tcPr>
            <w:tcW w:type="dxa" w:w="2160"/>
          </w:tcPr>
          <w:p>
            <w:r>
              <w:t>effective / expiration (ISO-UTC)</w:t>
            </w:r>
          </w:p>
        </w:tc>
        <w:tc>
          <w:tcPr>
            <w:tcW w:type="dxa" w:w="2160"/>
          </w:tcPr>
          <w:p>
            <w:r>
              <w:t>Format difference</w:t>
            </w:r>
          </w:p>
        </w:tc>
      </w:tr>
      <w:tr>
        <w:tc>
          <w:tcPr>
            <w:tcW w:type="dxa" w:w="2160"/>
          </w:tcPr>
          <w:p>
            <w:r>
              <w:t>Term / Duration</w:t>
            </w:r>
          </w:p>
        </w:tc>
        <w:tc>
          <w:tcPr>
            <w:tcW w:type="dxa" w:w="2160"/>
          </w:tcPr>
          <w:p>
            <w:r>
              <w:t>instalmentQuantity</w:t>
            </w:r>
          </w:p>
        </w:tc>
        <w:tc>
          <w:tcPr>
            <w:tcW w:type="dxa" w:w="2160"/>
          </w:tcPr>
          <w:p>
            <w:r>
              <w:t>term.termType + term.termQuantity</w:t>
            </w:r>
          </w:p>
        </w:tc>
        <w:tc>
          <w:tcPr>
            <w:tcW w:type="dxa" w:w="2160"/>
          </w:tcPr>
          <w:p>
            <w:r>
              <w:t>Dedicated 'term' block</w:t>
            </w:r>
          </w:p>
        </w:tc>
      </w:tr>
      <w:tr>
        <w:tc>
          <w:tcPr>
            <w:tcW w:type="dxa" w:w="2160"/>
          </w:tcPr>
          <w:p>
            <w:r>
              <w:t>Premium / Payment</w:t>
            </w:r>
          </w:p>
        </w:tc>
        <w:tc>
          <w:tcPr>
            <w:tcW w:type="dxa" w:w="2160"/>
          </w:tcPr>
          <w:p>
            <w:r>
              <w:t>Not present</w:t>
            </w:r>
          </w:p>
        </w:tc>
        <w:tc>
          <w:tcPr>
            <w:tcW w:type="dxa" w:w="2160"/>
          </w:tcPr>
          <w:p>
            <w:r>
              <w:t>premium{} and payment{} blocks</w:t>
            </w:r>
          </w:p>
        </w:tc>
        <w:tc>
          <w:tcPr>
            <w:tcW w:type="dxa" w:w="2160"/>
          </w:tcPr>
          <w:p>
            <w:r>
              <w:t>Present only in Scotia</w:t>
            </w:r>
          </w:p>
        </w:tc>
      </w:tr>
      <w:tr>
        <w:tc>
          <w:tcPr>
            <w:tcW w:type="dxa" w:w="2160"/>
          </w:tcPr>
          <w:p>
            <w:r>
              <w:t>Sales Channel</w:t>
            </w:r>
          </w:p>
        </w:tc>
        <w:tc>
          <w:tcPr>
            <w:tcW w:type="dxa" w:w="2160"/>
          </w:tcPr>
          <w:p>
            <w:r>
              <w:t>Simple field saleChannelType</w:t>
            </w:r>
          </w:p>
        </w:tc>
        <w:tc>
          <w:tcPr>
            <w:tcW w:type="dxa" w:w="2160"/>
          </w:tcPr>
          <w:p>
            <w:r>
              <w:t>salesChannel{} object</w:t>
            </w:r>
          </w:p>
        </w:tc>
        <w:tc>
          <w:tcPr>
            <w:tcW w:type="dxa" w:w="2160"/>
          </w:tcPr>
          <w:p>
            <w:r>
              <w:t>Structural difference</w:t>
            </w:r>
          </w:p>
        </w:tc>
      </w:tr>
      <w:tr>
        <w:tc>
          <w:tcPr>
            <w:tcW w:type="dxa" w:w="2160"/>
          </w:tcPr>
          <w:p>
            <w:r>
              <w:t>Addresses</w:t>
            </w:r>
          </w:p>
        </w:tc>
        <w:tc>
          <w:tcPr>
            <w:tcW w:type="dxa" w:w="2160"/>
          </w:tcPr>
          <w:p>
            <w:r>
              <w:t>addresses[ ] with addressName, townName</w:t>
            </w:r>
          </w:p>
        </w:tc>
        <w:tc>
          <w:tcPr>
            <w:tcW w:type="dxa" w:w="2160"/>
          </w:tcPr>
          <w:p>
            <w:r>
              <w:t>addresses[ ] with addressLine1, city</w:t>
            </w:r>
          </w:p>
        </w:tc>
        <w:tc>
          <w:tcPr>
            <w:tcW w:type="dxa" w:w="2160"/>
          </w:tcPr>
          <w:p>
            <w:r>
              <w:t>Structural difference</w:t>
            </w:r>
          </w:p>
        </w:tc>
      </w:tr>
      <w:tr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nationalityType + nationalityCd</w:t>
            </w:r>
          </w:p>
        </w:tc>
        <w:tc>
          <w:tcPr>
            <w:tcW w:type="dxa" w:w="2160"/>
          </w:tcPr>
          <w:p>
            <w:r>
              <w:t>nationalityCd only</w:t>
            </w:r>
          </w:p>
        </w:tc>
        <w:tc>
          <w:tcPr>
            <w:tcW w:type="dxa" w:w="2160"/>
          </w:tcPr>
          <w:p>
            <w:r>
              <w:t>Structural difference</w:t>
            </w:r>
          </w:p>
        </w:tc>
      </w:tr>
    </w:tbl>
    <w:p>
      <w:pPr>
        <w:pStyle w:val="Heading2"/>
      </w:pPr>
      <w:r>
        <w:t>2.3 JSON Structure –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 / Block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Global structure</w:t>
            </w:r>
          </w:p>
        </w:tc>
        <w:tc>
          <w:tcPr>
            <w:tcW w:type="dxa" w:w="2160"/>
          </w:tcPr>
          <w:p>
            <w:r>
              <w:t>Object {policyNumber, loanNumber}</w:t>
            </w:r>
          </w:p>
        </w:tc>
        <w:tc>
          <w:tcPr>
            <w:tcW w:type="dxa" w:w="2160"/>
          </w:tcPr>
          <w:p>
            <w:r>
              <w:t>Object {status, policyNumber, timestamp}</w:t>
            </w:r>
          </w:p>
        </w:tc>
        <w:tc>
          <w:tcPr>
            <w:tcW w:type="dxa" w:w="2160"/>
          </w:tcPr>
          <w:p>
            <w:r>
              <w:t>Different structure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Present (UTC ISO-8601)</w:t>
            </w:r>
          </w:p>
        </w:tc>
        <w:tc>
          <w:tcPr>
            <w:tcW w:type="dxa" w:w="2160"/>
          </w:tcPr>
          <w:p>
            <w:r>
              <w:t>Additional field</w:t>
            </w:r>
          </w:p>
        </w:tc>
      </w:tr>
      <w:tr>
        <w:tc>
          <w:tcPr>
            <w:tcW w:type="dxa" w:w="2160"/>
          </w:tcPr>
          <w:p>
            <w:r>
              <w:t>LoanNumber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Missing field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Additional field</w:t>
            </w:r>
          </w:p>
        </w:tc>
      </w:tr>
    </w:tbl>
    <w:p>
      <w:pPr>
        <w:pStyle w:val="Heading2"/>
      </w:pPr>
      <w:r>
        <w:t>2.4 Purchase API Summary</w:t>
      </w:r>
    </w:p>
    <w:p>
      <w:r>
        <w:br/>
        <w:t>The Purchase API request structure differs significantly between the two clients:</w:t>
        <w:br/>
        <w:t>Coppel maintains a single 'policy' object, while ScotiaBank separates data into modular sub-objects</w:t>
        <w:br/>
        <w:t>(product, term, premium, payment). Dates follow ISO 8601 UTC format for ScotiaBank,</w:t>
        <w:br/>
        <w:t>while Coppel remains on a local YYYY-MM-DD format.</w:t>
        <w:br/>
      </w:r>
    </w:p>
    <w:p>
      <w:pPr>
        <w:pStyle w:val="Heading1"/>
      </w:pPr>
      <w:r>
        <w:t>3. Cancellation API – Structural Comparison</w:t>
      </w:r>
    </w:p>
    <w:p>
      <w:pPr>
        <w:pStyle w:val="Heading2"/>
      </w:pPr>
      <w:r>
        <w:t>3.1 General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/mx/coppel/flex-cpi/sales-aso/v1/policies/cancel</w:t>
            </w:r>
          </w:p>
        </w:tc>
        <w:tc>
          <w:tcPr>
            <w:tcW w:type="dxa" w:w="2160"/>
          </w:tcPr>
          <w:p>
            <w:r>
              <w:t>/mx/bns/financial-product/v1/policies/cancel</w:t>
            </w:r>
          </w:p>
        </w:tc>
        <w:tc>
          <w:tcPr>
            <w:tcW w:type="dxa" w:w="2160"/>
          </w:tcPr>
          <w:p>
            <w:r>
              <w:t>Different persona and path</w:t>
            </w:r>
          </w:p>
        </w:tc>
      </w:tr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No difference</w:t>
            </w:r>
          </w:p>
        </w:tc>
      </w:tr>
      <w:tr>
        <w:tc>
          <w:tcPr>
            <w:tcW w:type="dxa" w:w="2160"/>
          </w:tcPr>
          <w:p>
            <w:r>
              <w:t>Integration Type</w:t>
            </w:r>
          </w:p>
        </w:tc>
        <w:tc>
          <w:tcPr>
            <w:tcW w:type="dxa" w:w="2160"/>
          </w:tcPr>
          <w:p>
            <w:r>
              <w:t>Sync (API)</w:t>
            </w:r>
          </w:p>
        </w:tc>
        <w:tc>
          <w:tcPr>
            <w:tcW w:type="dxa" w:w="2160"/>
          </w:tcPr>
          <w:p>
            <w:r>
              <w:t>Async (API)</w:t>
            </w:r>
          </w:p>
        </w:tc>
        <w:tc>
          <w:tcPr>
            <w:tcW w:type="dxa" w:w="2160"/>
          </w:tcPr>
          <w:p>
            <w:r>
              <w:t>Functional difference</w:t>
            </w:r>
          </w:p>
        </w:tc>
      </w:tr>
    </w:tbl>
    <w:p>
      <w:pPr>
        <w:pStyle w:val="Heading2"/>
      </w:pPr>
      <w:r>
        <w:t>3.2 JSON Structure –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 / Block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Global structure</w:t>
            </w:r>
          </w:p>
        </w:tc>
        <w:tc>
          <w:tcPr>
            <w:tcW w:type="dxa" w:w="2160"/>
          </w:tcPr>
          <w:p>
            <w:r>
              <w:t>Simple JSON (5 fields)</w:t>
            </w:r>
          </w:p>
        </w:tc>
        <w:tc>
          <w:tcPr>
            <w:tcW w:type="dxa" w:w="2160"/>
          </w:tcPr>
          <w:p>
            <w:r>
              <w:t>Enriched JSON (refund, commissionRecovery)</w:t>
            </w:r>
          </w:p>
        </w:tc>
        <w:tc>
          <w:tcPr>
            <w:tcW w:type="dxa" w:w="2160"/>
          </w:tcPr>
          <w:p>
            <w:r>
              <w:t>More complex structure</w:t>
            </w:r>
          </w:p>
        </w:tc>
      </w:tr>
      <w:tr>
        <w:tc>
          <w:tcPr>
            <w:tcW w:type="dxa" w:w="2160"/>
          </w:tcPr>
          <w:p>
            <w:r>
              <w:t>Mandatory fields</w:t>
            </w:r>
          </w:p>
        </w:tc>
        <w:tc>
          <w:tcPr>
            <w:tcW w:type="dxa" w:w="2160"/>
          </w:tcPr>
          <w:p>
            <w:r>
              <w:t>policyNumber, cancelDate, cancellationReason</w:t>
            </w:r>
          </w:p>
        </w:tc>
        <w:tc>
          <w:tcPr>
            <w:tcW w:type="dxa" w:w="2160"/>
          </w:tcPr>
          <w:p>
            <w:r>
              <w:t>policyNumber, cancelDate, cancelReasonCode</w:t>
            </w:r>
          </w:p>
        </w:tc>
        <w:tc>
          <w:tcPr>
            <w:tcW w:type="dxa" w:w="2160"/>
          </w:tcPr>
          <w:p>
            <w:r>
              <w:t>Same base, different names</w:t>
            </w:r>
          </w:p>
        </w:tc>
      </w:tr>
      <w:tr>
        <w:tc>
          <w:tcPr>
            <w:tcW w:type="dxa" w:w="2160"/>
          </w:tcPr>
          <w:p>
            <w:r>
              <w:t>Optional fields</w:t>
            </w:r>
          </w:p>
        </w:tc>
        <w:tc>
          <w:tcPr>
            <w:tcW w:type="dxa" w:w="2160"/>
          </w:tcPr>
          <w:p>
            <w:r>
              <w:t>externalCustomerID, loanNumber</w:t>
            </w:r>
          </w:p>
        </w:tc>
        <w:tc>
          <w:tcPr>
            <w:tcW w:type="dxa" w:w="2160"/>
          </w:tcPr>
          <w:p>
            <w:r>
              <w:t>supportingData, refund, commissionRecovery, exchangeRate</w:t>
            </w:r>
          </w:p>
        </w:tc>
        <w:tc>
          <w:tcPr>
            <w:tcW w:type="dxa" w:w="2160"/>
          </w:tcPr>
          <w:p>
            <w:r>
              <w:t>Scotia adds financial blocks</w:t>
            </w:r>
          </w:p>
        </w:tc>
      </w:tr>
      <w:tr>
        <w:tc>
          <w:tcPr>
            <w:tcW w:type="dxa" w:w="2160"/>
          </w:tcPr>
          <w:p>
            <w:r>
              <w:t>Date format</w:t>
            </w:r>
          </w:p>
        </w:tc>
        <w:tc>
          <w:tcPr>
            <w:tcW w:type="dxa" w:w="2160"/>
          </w:tcPr>
          <w:p>
            <w:r>
              <w:t>YYYY-MM-DD</w:t>
            </w:r>
          </w:p>
        </w:tc>
        <w:tc>
          <w:tcPr>
            <w:tcW w:type="dxa" w:w="2160"/>
          </w:tcPr>
          <w:p>
            <w:r>
              <w:t>YYYY-MM-DDTHH:MM:SSZ</w:t>
            </w:r>
          </w:p>
        </w:tc>
        <w:tc>
          <w:tcPr>
            <w:tcW w:type="dxa" w:w="2160"/>
          </w:tcPr>
          <w:p>
            <w:r>
              <w:t>Format difference</w:t>
            </w:r>
          </w:p>
        </w:tc>
      </w:tr>
      <w:tr>
        <w:tc>
          <w:tcPr>
            <w:tcW w:type="dxa" w:w="2160"/>
          </w:tcPr>
          <w:p>
            <w:r>
              <w:t>Cancellation reasons</w:t>
            </w:r>
          </w:p>
        </w:tc>
        <w:tc>
          <w:tcPr>
            <w:tcW w:type="dxa" w:w="2160"/>
          </w:tcPr>
          <w:p>
            <w:r>
              <w:t>Simple field (cancellationReason)</w:t>
            </w:r>
          </w:p>
        </w:tc>
        <w:tc>
          <w:tcPr>
            <w:tcW w:type="dxa" w:w="2160"/>
          </w:tcPr>
          <w:p>
            <w:r>
              <w:t>cancelReasonCode + supportingData</w:t>
            </w:r>
          </w:p>
        </w:tc>
        <w:tc>
          <w:tcPr>
            <w:tcW w:type="dxa" w:w="2160"/>
          </w:tcPr>
          <w:p>
            <w:r>
              <w:t>Enriched structure</w:t>
            </w:r>
          </w:p>
        </w:tc>
      </w:tr>
      <w:tr>
        <w:tc>
          <w:tcPr>
            <w:tcW w:type="dxa" w:w="2160"/>
          </w:tcPr>
          <w:p>
            <w:r>
              <w:t>Monetary sub-blocks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refund{amount,currencyCode}, commissionRecovery{amount,currencyCode}</w:t>
            </w:r>
          </w:p>
        </w:tc>
        <w:tc>
          <w:tcPr>
            <w:tcW w:type="dxa" w:w="2160"/>
          </w:tcPr>
          <w:p>
            <w:r>
              <w:t>Present only in Scotia</w:t>
            </w:r>
          </w:p>
        </w:tc>
      </w:tr>
      <w:tr>
        <w:tc>
          <w:tcPr>
            <w:tcW w:type="dxa" w:w="2160"/>
          </w:tcPr>
          <w:p>
            <w:r>
              <w:t>policyId (UUID)</w:t>
            </w:r>
          </w:p>
        </w:tc>
        <w:tc>
          <w:tcPr>
            <w:tcW w:type="dxa" w:w="2160"/>
          </w:tcPr>
          <w:p>
            <w:r>
              <w:t>Absent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Additional field</w:t>
            </w:r>
          </w:p>
        </w:tc>
      </w:tr>
    </w:tbl>
    <w:p>
      <w:pPr>
        <w:pStyle w:val="Heading2"/>
      </w:pPr>
      <w:r>
        <w:t>3.3 JSON Structure –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 / Block</w:t>
            </w:r>
          </w:p>
        </w:tc>
        <w:tc>
          <w:tcPr>
            <w:tcW w:type="dxa" w:w="2160"/>
          </w:tcPr>
          <w:p>
            <w:r>
              <w:t>Coppel (CPI)</w:t>
            </w:r>
          </w:p>
        </w:tc>
        <w:tc>
          <w:tcPr>
            <w:tcW w:type="dxa" w:w="2160"/>
          </w:tcPr>
          <w:p>
            <w:r>
              <w:t>ScotiaBank (BNS-FP)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Success response (200)</w:t>
            </w:r>
          </w:p>
        </w:tc>
        <w:tc>
          <w:tcPr>
            <w:tcW w:type="dxa" w:w="2160"/>
          </w:tcPr>
          <w:p>
            <w:r>
              <w:t>{policyNumber, externalCustomerID, transactionEffectiveDate}</w:t>
            </w:r>
          </w:p>
        </w:tc>
        <w:tc>
          <w:tcPr>
            <w:tcW w:type="dxa" w:w="2160"/>
          </w:tcPr>
          <w:p>
            <w:r>
              <w:t>{status, policyNumber, timestamp}</w:t>
            </w:r>
          </w:p>
        </w:tc>
        <w:tc>
          <w:tcPr>
            <w:tcW w:type="dxa" w:w="2160"/>
          </w:tcPr>
          <w:p>
            <w:r>
              <w:t>Different structure</w:t>
            </w:r>
          </w:p>
        </w:tc>
      </w:tr>
      <w:tr>
        <w:tc>
          <w:tcPr>
            <w:tcW w:type="dxa" w:w="2160"/>
          </w:tcPr>
          <w:p>
            <w:r>
              <w:t>Error response (422)</w:t>
            </w:r>
          </w:p>
        </w:tc>
        <w:tc>
          <w:tcPr>
            <w:tcW w:type="dxa" w:w="2160"/>
          </w:tcPr>
          <w:p>
            <w:r>
              <w:t>timestamp, errorCode, error, message, errors[]</w:t>
            </w:r>
          </w:p>
        </w:tc>
        <w:tc>
          <w:tcPr>
            <w:tcW w:type="dxa" w:w="2160"/>
          </w:tcPr>
          <w:p>
            <w:r>
              <w:t>errorCode, message, errors[{errorCode, message}]</w:t>
            </w:r>
          </w:p>
        </w:tc>
        <w:tc>
          <w:tcPr>
            <w:tcW w:type="dxa" w:w="2160"/>
          </w:tcPr>
          <w:p>
            <w:r>
              <w:t>Simplified on Scotia side</w:t>
            </w:r>
          </w:p>
        </w:tc>
      </w:tr>
      <w:tr>
        <w:tc>
          <w:tcPr>
            <w:tcW w:type="dxa" w:w="2160"/>
          </w:tcPr>
          <w:p>
            <w:r>
              <w:t>Error type</w:t>
            </w:r>
          </w:p>
        </w:tc>
        <w:tc>
          <w:tcPr>
            <w:tcW w:type="dxa" w:w="2160"/>
          </w:tcPr>
          <w:p>
            <w:r>
              <w:t>Bad Request / Unprocessable Entity</w:t>
            </w:r>
          </w:p>
        </w:tc>
        <w:tc>
          <w:tcPr>
            <w:tcW w:type="dxa" w:w="2160"/>
          </w:tcPr>
          <w:p>
            <w:r>
              <w:t>ERROR_SERVICE_VALIDATION (MANDATORY, Validation errors)</w:t>
            </w:r>
          </w:p>
        </w:tc>
        <w:tc>
          <w:tcPr>
            <w:tcW w:type="dxa" w:w="2160"/>
          </w:tcPr>
          <w:p>
            <w:r>
              <w:t>Structural and semantic difference</w:t>
            </w:r>
          </w:p>
        </w:tc>
      </w:tr>
    </w:tbl>
    <w:p>
      <w:pPr>
        <w:pStyle w:val="Heading2"/>
      </w:pPr>
      <w:r>
        <w:t>3.4 Cancellation API Summary</w:t>
      </w:r>
    </w:p>
    <w:p>
      <w:r>
        <w:br/>
        <w:t>The Cancellation API presents key structural differences: ScotiaBank adds financial sub-blocks (refund, commissionRecovery)</w:t>
        <w:br/>
        <w:t>and enriches the semantic detail of cancellation reasons. Responses use normalized structure (status, timestamp)</w:t>
        <w:br/>
        <w:t>and UTC ISO 8601 date formats, while Coppel maintains a simpler, localized schema.</w:t>
        <w:br/>
      </w:r>
    </w:p>
    <w:p>
      <w:pPr>
        <w:pStyle w:val="Heading1"/>
      </w:pPr>
      <w:r>
        <w:t>4. Global Synthesis</w:t>
      </w:r>
    </w:p>
    <w:p>
      <w:r>
        <w:br/>
        <w:t>Coppel and ScotiaBank APIs share similar business logic but differ strongly in JSON design.</w:t>
        <w:br/>
        <w:t>ScotiaBank follows a more modular DXP-aligned model, introducing structured sub-objects and standardized UTC formats,</w:t>
        <w:br/>
        <w:t>while Coppel remains compact and business-oriented, using flatter payloads.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