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4ADA"/>
          <w:sz w:val="40"/>
        </w:rPr>
        <w:t>Comparaison structurelle des API EIS</w:t>
        <w:br/>
        <w:t>Purchase &amp; Cancellation (Coppel vs ScotiaBank)</w:t>
      </w:r>
    </w:p>
    <w:p>
      <w:pPr>
        <w:jc w:val="center"/>
      </w:pPr>
      <w:r>
        <w:rPr>
          <w:i/>
          <w:sz w:val="24"/>
        </w:rPr>
        <w:t>Dr. Anis Kedidi – IBM Cloud Architect &amp; EIS Expert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br/>
        <w:t xml:space="preserve">Ce document présente une analyse comparative détaillée entre les API EIS utilisées par les clients Coppel et ScotiaBank </w:t>
        <w:br/>
        <w:t xml:space="preserve">dans le cadre des opérations de vente (Purchase API) et d’annulation (Cancellation API). </w:t>
        <w:br/>
        <w:t xml:space="preserve">L’objectif est de mettre en évidence les différences structurelles entre les modèles JSON, les formats de données, </w:t>
        <w:br/>
        <w:t>et les principes d’intégration, tout en conservant une vision cohérente des spécifications fonctionnelles du domaine assurance.</w:t>
        <w:br/>
      </w:r>
    </w:p>
    <w:p>
      <w:pPr>
        <w:pStyle w:val="Heading1"/>
      </w:pPr>
      <w:r>
        <w:t>2. Purchase API – Comparaison structurelle</w:t>
      </w:r>
    </w:p>
    <w:p>
      <w:pPr>
        <w:pStyle w:val="Heading2"/>
      </w:pPr>
      <w:r>
        <w:t>2.1 Informations générales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Élément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Différence</w:t>
            </w:r>
          </w:p>
        </w:tc>
      </w:tr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/mx/coppel/flex-cpi/sales-aso/v1/policies/purchase</w:t>
            </w:r>
          </w:p>
        </w:tc>
        <w:tc>
          <w:tcPr>
            <w:tcW w:type="dxa" w:w="2160"/>
          </w:tcPr>
          <w:p>
            <w:r>
              <w:t>/mx/bns/financial-product/v1/policies/purchase</w:t>
            </w:r>
          </w:p>
        </w:tc>
        <w:tc>
          <w:tcPr>
            <w:tcW w:type="dxa" w:w="2160"/>
          </w:tcPr>
          <w:p>
            <w:r>
              <w:t>Différence de persona et de path</w:t>
            </w:r>
          </w:p>
        </w:tc>
      </w:tr>
      <w:tr>
        <w:tc>
          <w:tcPr>
            <w:tcW w:type="dxa" w:w="2160"/>
          </w:tcPr>
          <w:p>
            <w:r>
              <w:t>Méthode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Aucune différence</w:t>
            </w:r>
          </w:p>
        </w:tc>
      </w:tr>
      <w:tr>
        <w:tc>
          <w:tcPr>
            <w:tcW w:type="dxa" w:w="2160"/>
          </w:tcPr>
          <w:p>
            <w:r>
              <w:t>Integration Type</w:t>
            </w:r>
          </w:p>
        </w:tc>
        <w:tc>
          <w:tcPr>
            <w:tcW w:type="dxa" w:w="2160"/>
          </w:tcPr>
          <w:p>
            <w:r>
              <w:t>Sync (API)</w:t>
            </w:r>
          </w:p>
        </w:tc>
        <w:tc>
          <w:tcPr>
            <w:tcW w:type="dxa" w:w="2160"/>
          </w:tcPr>
          <w:p>
            <w:r>
              <w:t>Async (API)</w:t>
            </w:r>
          </w:p>
        </w:tc>
        <w:tc>
          <w:tcPr>
            <w:tcW w:type="dxa" w:w="2160"/>
          </w:tcPr>
          <w:p>
            <w:r>
              <w:t>Différence fonctionnelle</w:t>
            </w:r>
          </w:p>
        </w:tc>
      </w:tr>
    </w:tbl>
    <w:p>
      <w:pPr>
        <w:pStyle w:val="Heading2"/>
      </w:pPr>
      <w:r>
        <w:t>2.2 Structure JSON – Requête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Élément / Bloc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Différence</w:t>
            </w:r>
          </w:p>
        </w:tc>
      </w:tr>
      <w:tr>
        <w:tc>
          <w:tcPr>
            <w:tcW w:type="dxa" w:w="2160"/>
          </w:tcPr>
          <w:p>
            <w:r>
              <w:t>Structure globale</w:t>
            </w:r>
          </w:p>
        </w:tc>
        <w:tc>
          <w:tcPr>
            <w:tcW w:type="dxa" w:w="2160"/>
          </w:tcPr>
          <w:p>
            <w:r>
              <w:t>Objet 'policy' unique</w:t>
            </w:r>
          </w:p>
        </w:tc>
        <w:tc>
          <w:tcPr>
            <w:tcW w:type="dxa" w:w="2160"/>
          </w:tcPr>
          <w:p>
            <w:r>
              <w:t>Objets multiples : product, salesChannel, term, premium, payment</w:t>
            </w:r>
          </w:p>
        </w:tc>
        <w:tc>
          <w:tcPr>
            <w:tcW w:type="dxa" w:w="2160"/>
          </w:tcPr>
          <w:p>
            <w:r>
              <w:t>Structure totalement différente</w:t>
            </w:r>
          </w:p>
        </w:tc>
      </w:tr>
      <w:tr>
        <w:tc>
          <w:tcPr>
            <w:tcW w:type="dxa" w:w="2160"/>
          </w:tcPr>
          <w:p>
            <w:r>
              <w:t>Transaction ID</w:t>
            </w:r>
          </w:p>
        </w:tc>
        <w:tc>
          <w:tcPr>
            <w:tcW w:type="dxa" w:w="2160"/>
          </w:tcPr>
          <w:p>
            <w:r>
              <w:t>Présent (UUID)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Différence structurelle</w:t>
            </w:r>
          </w:p>
        </w:tc>
      </w:tr>
      <w:tr>
        <w:tc>
          <w:tcPr>
            <w:tcW w:type="dxa" w:w="2160"/>
          </w:tcPr>
          <w:p>
            <w:r>
              <w:t>Loan Information</w:t>
            </w:r>
          </w:p>
        </w:tc>
        <w:tc>
          <w:tcPr>
            <w:tcW w:type="dxa" w:w="2160"/>
          </w:tcPr>
          <w:p>
            <w:r>
              <w:t>Bloc loanInformation[ ]</w:t>
            </w:r>
          </w:p>
        </w:tc>
        <w:tc>
          <w:tcPr>
            <w:tcW w:type="dxa" w:w="2160"/>
          </w:tcPr>
          <w:p>
            <w:r>
              <w:t>Aucun bloc équivalent</w:t>
            </w:r>
          </w:p>
        </w:tc>
        <w:tc>
          <w:tcPr>
            <w:tcW w:type="dxa" w:w="2160"/>
          </w:tcPr>
          <w:p>
            <w:r>
              <w:t>Différence structurelle</w:t>
            </w:r>
          </w:p>
        </w:tc>
      </w:tr>
      <w:tr>
        <w:tc>
          <w:tcPr>
            <w:tcW w:type="dxa" w:w="2160"/>
          </w:tcPr>
          <w:p>
            <w:r>
              <w:t>Product / Policy</w:t>
            </w:r>
          </w:p>
        </w:tc>
        <w:tc>
          <w:tcPr>
            <w:tcW w:type="dxa" w:w="2160"/>
          </w:tcPr>
          <w:p>
            <w:r>
              <w:t>policy.productCode</w:t>
            </w:r>
          </w:p>
        </w:tc>
        <w:tc>
          <w:tcPr>
            <w:tcW w:type="dxa" w:w="2160"/>
          </w:tcPr>
          <w:p>
            <w:r>
              <w:t>product.productCode (sous-objet)</w:t>
            </w:r>
          </w:p>
        </w:tc>
        <w:tc>
          <w:tcPr>
            <w:tcW w:type="dxa" w:w="2160"/>
          </w:tcPr>
          <w:p>
            <w:r>
              <w:t>Différence de structure</w:t>
            </w:r>
          </w:p>
        </w:tc>
      </w:tr>
      <w:tr>
        <w:tc>
          <w:tcPr>
            <w:tcW w:type="dxa" w:w="2160"/>
          </w:tcPr>
          <w:p>
            <w:r>
              <w:t>Dates</w:t>
            </w:r>
          </w:p>
        </w:tc>
        <w:tc>
          <w:tcPr>
            <w:tcW w:type="dxa" w:w="2160"/>
          </w:tcPr>
          <w:p>
            <w:r>
              <w:t>loanStartDate (YYYY-MM-DD)</w:t>
            </w:r>
          </w:p>
        </w:tc>
        <w:tc>
          <w:tcPr>
            <w:tcW w:type="dxa" w:w="2160"/>
          </w:tcPr>
          <w:p>
            <w:r>
              <w:t>effective / expiration (ISO-UTC)</w:t>
            </w:r>
          </w:p>
        </w:tc>
        <w:tc>
          <w:tcPr>
            <w:tcW w:type="dxa" w:w="2160"/>
          </w:tcPr>
          <w:p>
            <w:r>
              <w:t>Différence de format</w:t>
            </w:r>
          </w:p>
        </w:tc>
      </w:tr>
      <w:tr>
        <w:tc>
          <w:tcPr>
            <w:tcW w:type="dxa" w:w="2160"/>
          </w:tcPr>
          <w:p>
            <w:r>
              <w:t>Term / Duration</w:t>
            </w:r>
          </w:p>
        </w:tc>
        <w:tc>
          <w:tcPr>
            <w:tcW w:type="dxa" w:w="2160"/>
          </w:tcPr>
          <w:p>
            <w:r>
              <w:t>instalmentQuantity</w:t>
            </w:r>
          </w:p>
        </w:tc>
        <w:tc>
          <w:tcPr>
            <w:tcW w:type="dxa" w:w="2160"/>
          </w:tcPr>
          <w:p>
            <w:r>
              <w:t>term.termType + term.termQuantity</w:t>
            </w:r>
          </w:p>
        </w:tc>
        <w:tc>
          <w:tcPr>
            <w:tcW w:type="dxa" w:w="2160"/>
          </w:tcPr>
          <w:p>
            <w:r>
              <w:t>Bloc 'term' dédié</w:t>
            </w:r>
          </w:p>
        </w:tc>
      </w:tr>
      <w:tr>
        <w:tc>
          <w:tcPr>
            <w:tcW w:type="dxa" w:w="2160"/>
          </w:tcPr>
          <w:p>
            <w:r>
              <w:t>Premium / Payment</w:t>
            </w:r>
          </w:p>
        </w:tc>
        <w:tc>
          <w:tcPr>
            <w:tcW w:type="dxa" w:w="2160"/>
          </w:tcPr>
          <w:p>
            <w:r>
              <w:t>Non présent</w:t>
            </w:r>
          </w:p>
        </w:tc>
        <w:tc>
          <w:tcPr>
            <w:tcW w:type="dxa" w:w="2160"/>
          </w:tcPr>
          <w:p>
            <w:r>
              <w:t>Blocs premium{} et payment{}</w:t>
            </w:r>
          </w:p>
        </w:tc>
        <w:tc>
          <w:tcPr>
            <w:tcW w:type="dxa" w:w="2160"/>
          </w:tcPr>
          <w:p>
            <w:r>
              <w:t>Présent uniquement chez Scotia</w:t>
            </w:r>
          </w:p>
        </w:tc>
      </w:tr>
      <w:tr>
        <w:tc>
          <w:tcPr>
            <w:tcW w:type="dxa" w:w="2160"/>
          </w:tcPr>
          <w:p>
            <w:r>
              <w:t>Sales Channel</w:t>
            </w:r>
          </w:p>
        </w:tc>
        <w:tc>
          <w:tcPr>
            <w:tcW w:type="dxa" w:w="2160"/>
          </w:tcPr>
          <w:p>
            <w:r>
              <w:t>Champ simple saleChannelType</w:t>
            </w:r>
          </w:p>
        </w:tc>
        <w:tc>
          <w:tcPr>
            <w:tcW w:type="dxa" w:w="2160"/>
          </w:tcPr>
          <w:p>
            <w:r>
              <w:t>Bloc salesChannel{}</w:t>
            </w:r>
          </w:p>
        </w:tc>
        <w:tc>
          <w:tcPr>
            <w:tcW w:type="dxa" w:w="2160"/>
          </w:tcPr>
          <w:p>
            <w:r>
              <w:t>Différence de structure</w:t>
            </w:r>
          </w:p>
        </w:tc>
      </w:tr>
      <w:tr>
        <w:tc>
          <w:tcPr>
            <w:tcW w:type="dxa" w:w="2160"/>
          </w:tcPr>
          <w:p>
            <w:r>
              <w:t>Addresses</w:t>
            </w:r>
          </w:p>
        </w:tc>
        <w:tc>
          <w:tcPr>
            <w:tcW w:type="dxa" w:w="2160"/>
          </w:tcPr>
          <w:p>
            <w:r>
              <w:t>addresses[ ] avec addressName, townName</w:t>
            </w:r>
          </w:p>
        </w:tc>
        <w:tc>
          <w:tcPr>
            <w:tcW w:type="dxa" w:w="2160"/>
          </w:tcPr>
          <w:p>
            <w:r>
              <w:t>addresses[ ] avec addressLine1, city</w:t>
            </w:r>
          </w:p>
        </w:tc>
        <w:tc>
          <w:tcPr>
            <w:tcW w:type="dxa" w:w="2160"/>
          </w:tcPr>
          <w:p>
            <w:r>
              <w:t>Différence structurelle</w:t>
            </w:r>
          </w:p>
        </w:tc>
      </w:tr>
      <w:tr>
        <w:tc>
          <w:tcPr>
            <w:tcW w:type="dxa" w:w="2160"/>
          </w:tcPr>
          <w:p>
            <w:r>
              <w:t>Nationalité</w:t>
            </w:r>
          </w:p>
        </w:tc>
        <w:tc>
          <w:tcPr>
            <w:tcW w:type="dxa" w:w="2160"/>
          </w:tcPr>
          <w:p>
            <w:r>
              <w:t>nationalityType + nationalityCd</w:t>
            </w:r>
          </w:p>
        </w:tc>
        <w:tc>
          <w:tcPr>
            <w:tcW w:type="dxa" w:w="2160"/>
          </w:tcPr>
          <w:p>
            <w:r>
              <w:t>nationalityCd seul</w:t>
            </w:r>
          </w:p>
        </w:tc>
        <w:tc>
          <w:tcPr>
            <w:tcW w:type="dxa" w:w="2160"/>
          </w:tcPr>
          <w:p>
            <w:r>
              <w:t>Différence structurelle</w:t>
            </w:r>
          </w:p>
        </w:tc>
      </w:tr>
    </w:tbl>
    <w:p>
      <w:pPr>
        <w:pStyle w:val="Heading2"/>
      </w:pPr>
      <w:r>
        <w:t>2.3 Structure JSON – Réponse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Élément / Bloc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Différence</w:t>
            </w:r>
          </w:p>
        </w:tc>
      </w:tr>
      <w:tr>
        <w:tc>
          <w:tcPr>
            <w:tcW w:type="dxa" w:w="2160"/>
          </w:tcPr>
          <w:p>
            <w:r>
              <w:t>Structure globale</w:t>
            </w:r>
          </w:p>
        </w:tc>
        <w:tc>
          <w:tcPr>
            <w:tcW w:type="dxa" w:w="2160"/>
          </w:tcPr>
          <w:p>
            <w:r>
              <w:t>Objet {policyNumber, loanNumber}</w:t>
            </w:r>
          </w:p>
        </w:tc>
        <w:tc>
          <w:tcPr>
            <w:tcW w:type="dxa" w:w="2160"/>
          </w:tcPr>
          <w:p>
            <w:r>
              <w:t>Objet {status, policyNumber, timestamp}</w:t>
            </w:r>
          </w:p>
        </w:tc>
        <w:tc>
          <w:tcPr>
            <w:tcW w:type="dxa" w:w="2160"/>
          </w:tcPr>
          <w:p>
            <w:r>
              <w:t>Structure différente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Présent (UTC ISO-8601)</w:t>
            </w:r>
          </w:p>
        </w:tc>
        <w:tc>
          <w:tcPr>
            <w:tcW w:type="dxa" w:w="2160"/>
          </w:tcPr>
          <w:p>
            <w:r>
              <w:t>Champ additionnel</w:t>
            </w:r>
          </w:p>
        </w:tc>
      </w:tr>
      <w:tr>
        <w:tc>
          <w:tcPr>
            <w:tcW w:type="dxa" w:w="2160"/>
          </w:tcPr>
          <w:p>
            <w:r>
              <w:t>LoanNumber</w:t>
            </w:r>
          </w:p>
        </w:tc>
        <w:tc>
          <w:tcPr>
            <w:tcW w:type="dxa" w:w="2160"/>
          </w:tcPr>
          <w:p>
            <w:r>
              <w:t>Présent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Champ manquant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Présent</w:t>
            </w:r>
          </w:p>
        </w:tc>
        <w:tc>
          <w:tcPr>
            <w:tcW w:type="dxa" w:w="2160"/>
          </w:tcPr>
          <w:p>
            <w:r>
              <w:t>Champ additionnel</w:t>
            </w:r>
          </w:p>
        </w:tc>
      </w:tr>
    </w:tbl>
    <w:p>
      <w:pPr>
        <w:pStyle w:val="Heading2"/>
      </w:pPr>
      <w:r>
        <w:t>2.4 Synthèse Purchase API</w:t>
      </w:r>
    </w:p>
    <w:p>
      <w:r>
        <w:br/>
        <w:t xml:space="preserve">La structure de la requête Purchase diffère fortement entre les deux clients : </w:t>
        <w:br/>
        <w:t xml:space="preserve">Coppel conserve une approche monobloc « policy », alors que ScotiaBank segmente les données </w:t>
        <w:br/>
        <w:t xml:space="preserve">en sous-objets logiques (product, term, premium, payment). </w:t>
        <w:br/>
        <w:t>Les dates utilisent un format ISO 8601 UTC côté ScotiaBank, tandis que Coppel reste en format local (YYYY-MM-DD).</w:t>
        <w:br/>
      </w:r>
    </w:p>
    <w:p>
      <w:pPr>
        <w:pStyle w:val="Heading1"/>
      </w:pPr>
      <w:r>
        <w:t>3. Cancellation API – Comparaison structurelle</w:t>
      </w:r>
    </w:p>
    <w:p>
      <w:pPr>
        <w:pStyle w:val="Heading2"/>
      </w:pPr>
      <w:r>
        <w:t>3.1 Informations générales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Élément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Différence</w:t>
            </w:r>
          </w:p>
        </w:tc>
      </w:tr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/mx/coppel/flex-cpi/sales-aso/v1/policies/cancel</w:t>
            </w:r>
          </w:p>
        </w:tc>
        <w:tc>
          <w:tcPr>
            <w:tcW w:type="dxa" w:w="2160"/>
          </w:tcPr>
          <w:p>
            <w:r>
              <w:t>/mx/bns/financial-product/v1/policies/cancel</w:t>
            </w:r>
          </w:p>
        </w:tc>
        <w:tc>
          <w:tcPr>
            <w:tcW w:type="dxa" w:w="2160"/>
          </w:tcPr>
          <w:p>
            <w:r>
              <w:t>Différence de persona et de path</w:t>
            </w:r>
          </w:p>
        </w:tc>
      </w:tr>
      <w:tr>
        <w:tc>
          <w:tcPr>
            <w:tcW w:type="dxa" w:w="2160"/>
          </w:tcPr>
          <w:p>
            <w:r>
              <w:t>Méthode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Aucune différence</w:t>
            </w:r>
          </w:p>
        </w:tc>
      </w:tr>
      <w:tr>
        <w:tc>
          <w:tcPr>
            <w:tcW w:type="dxa" w:w="2160"/>
          </w:tcPr>
          <w:p>
            <w:r>
              <w:t>Integration Type</w:t>
            </w:r>
          </w:p>
        </w:tc>
        <w:tc>
          <w:tcPr>
            <w:tcW w:type="dxa" w:w="2160"/>
          </w:tcPr>
          <w:p>
            <w:r>
              <w:t>Sync (API)</w:t>
            </w:r>
          </w:p>
        </w:tc>
        <w:tc>
          <w:tcPr>
            <w:tcW w:type="dxa" w:w="2160"/>
          </w:tcPr>
          <w:p>
            <w:r>
              <w:t>Async (API)</w:t>
            </w:r>
          </w:p>
        </w:tc>
        <w:tc>
          <w:tcPr>
            <w:tcW w:type="dxa" w:w="2160"/>
          </w:tcPr>
          <w:p>
            <w:r>
              <w:t>Différence fonctionnelle</w:t>
            </w:r>
          </w:p>
        </w:tc>
      </w:tr>
    </w:tbl>
    <w:p>
      <w:pPr>
        <w:pStyle w:val="Heading2"/>
      </w:pPr>
      <w:r>
        <w:t>3.2 Structure JSON – Requête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Élément / Bloc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Différence</w:t>
            </w:r>
          </w:p>
        </w:tc>
      </w:tr>
      <w:tr>
        <w:tc>
          <w:tcPr>
            <w:tcW w:type="dxa" w:w="2160"/>
          </w:tcPr>
          <w:p>
            <w:r>
              <w:t>Structure globale</w:t>
            </w:r>
          </w:p>
        </w:tc>
        <w:tc>
          <w:tcPr>
            <w:tcW w:type="dxa" w:w="2160"/>
          </w:tcPr>
          <w:p>
            <w:r>
              <w:t>Simple JSON (5 champs)</w:t>
            </w:r>
          </w:p>
        </w:tc>
        <w:tc>
          <w:tcPr>
            <w:tcW w:type="dxa" w:w="2160"/>
          </w:tcPr>
          <w:p>
            <w:r>
              <w:t>JSON enrichi (refund, commissionRecovery)</w:t>
            </w:r>
          </w:p>
        </w:tc>
        <w:tc>
          <w:tcPr>
            <w:tcW w:type="dxa" w:w="2160"/>
          </w:tcPr>
          <w:p>
            <w:r>
              <w:t>Structure plus complexe</w:t>
            </w:r>
          </w:p>
        </w:tc>
      </w:tr>
      <w:tr>
        <w:tc>
          <w:tcPr>
            <w:tcW w:type="dxa" w:w="2160"/>
          </w:tcPr>
          <w:p>
            <w:r>
              <w:t>Champs obligatoires</w:t>
            </w:r>
          </w:p>
        </w:tc>
        <w:tc>
          <w:tcPr>
            <w:tcW w:type="dxa" w:w="2160"/>
          </w:tcPr>
          <w:p>
            <w:r>
              <w:t>policyNumber, cancelDate, cancellationReason</w:t>
            </w:r>
          </w:p>
        </w:tc>
        <w:tc>
          <w:tcPr>
            <w:tcW w:type="dxa" w:w="2160"/>
          </w:tcPr>
          <w:p>
            <w:r>
              <w:t>policyNumber, cancelDate, cancelReasonCode</w:t>
            </w:r>
          </w:p>
        </w:tc>
        <w:tc>
          <w:tcPr>
            <w:tcW w:type="dxa" w:w="2160"/>
          </w:tcPr>
          <w:p>
            <w:r>
              <w:t>Même base, noms différents</w:t>
            </w:r>
          </w:p>
        </w:tc>
      </w:tr>
      <w:tr>
        <w:tc>
          <w:tcPr>
            <w:tcW w:type="dxa" w:w="2160"/>
          </w:tcPr>
          <w:p>
            <w:r>
              <w:t>Champs optionnels</w:t>
            </w:r>
          </w:p>
        </w:tc>
        <w:tc>
          <w:tcPr>
            <w:tcW w:type="dxa" w:w="2160"/>
          </w:tcPr>
          <w:p>
            <w:r>
              <w:t>externalCustomerID, loanNumber</w:t>
            </w:r>
          </w:p>
        </w:tc>
        <w:tc>
          <w:tcPr>
            <w:tcW w:type="dxa" w:w="2160"/>
          </w:tcPr>
          <w:p>
            <w:r>
              <w:t>supportingData, refund, commissionRecovery, exchangeRate</w:t>
            </w:r>
          </w:p>
        </w:tc>
        <w:tc>
          <w:tcPr>
            <w:tcW w:type="dxa" w:w="2160"/>
          </w:tcPr>
          <w:p>
            <w:r>
              <w:t>Scotia ajoute plusieurs blocs</w:t>
            </w:r>
          </w:p>
        </w:tc>
      </w:tr>
      <w:tr>
        <w:tc>
          <w:tcPr>
            <w:tcW w:type="dxa" w:w="2160"/>
          </w:tcPr>
          <w:p>
            <w:r>
              <w:t>Date format</w:t>
            </w:r>
          </w:p>
        </w:tc>
        <w:tc>
          <w:tcPr>
            <w:tcW w:type="dxa" w:w="2160"/>
          </w:tcPr>
          <w:p>
            <w:r>
              <w:t>YYYY-MM-DD</w:t>
            </w:r>
          </w:p>
        </w:tc>
        <w:tc>
          <w:tcPr>
            <w:tcW w:type="dxa" w:w="2160"/>
          </w:tcPr>
          <w:p>
            <w:r>
              <w:t>YYYY-MM-DDTHH:MM:SSZ</w:t>
            </w:r>
          </w:p>
        </w:tc>
        <w:tc>
          <w:tcPr>
            <w:tcW w:type="dxa" w:w="2160"/>
          </w:tcPr>
          <w:p>
            <w:r>
              <w:t>Différence de format</w:t>
            </w:r>
          </w:p>
        </w:tc>
      </w:tr>
      <w:tr>
        <w:tc>
          <w:tcPr>
            <w:tcW w:type="dxa" w:w="2160"/>
          </w:tcPr>
          <w:p>
            <w:r>
              <w:t>Raisons d’annulation</w:t>
            </w:r>
          </w:p>
        </w:tc>
        <w:tc>
          <w:tcPr>
            <w:tcW w:type="dxa" w:w="2160"/>
          </w:tcPr>
          <w:p>
            <w:r>
              <w:t>Champ simple (cancellationReason)</w:t>
            </w:r>
          </w:p>
        </w:tc>
        <w:tc>
          <w:tcPr>
            <w:tcW w:type="dxa" w:w="2160"/>
          </w:tcPr>
          <w:p>
            <w:r>
              <w:t>cancelReasonCode + supportingData</w:t>
            </w:r>
          </w:p>
        </w:tc>
        <w:tc>
          <w:tcPr>
            <w:tcW w:type="dxa" w:w="2160"/>
          </w:tcPr>
          <w:p>
            <w:r>
              <w:t>Structure enrichie</w:t>
            </w:r>
          </w:p>
        </w:tc>
      </w:tr>
      <w:tr>
        <w:tc>
          <w:tcPr>
            <w:tcW w:type="dxa" w:w="2160"/>
          </w:tcPr>
          <w:p>
            <w:r>
              <w:t>Sous-blocs monétaires</w:t>
            </w:r>
          </w:p>
        </w:tc>
        <w:tc>
          <w:tcPr>
            <w:tcW w:type="dxa" w:w="2160"/>
          </w:tcPr>
          <w:p>
            <w:r>
              <w:t>Aucun</w:t>
            </w:r>
          </w:p>
        </w:tc>
        <w:tc>
          <w:tcPr>
            <w:tcW w:type="dxa" w:w="2160"/>
          </w:tcPr>
          <w:p>
            <w:r>
              <w:t>refund{amount,currencyCode}, commissionRecovery{amount,currencyCode}</w:t>
            </w:r>
          </w:p>
        </w:tc>
        <w:tc>
          <w:tcPr>
            <w:tcW w:type="dxa" w:w="2160"/>
          </w:tcPr>
          <w:p>
            <w:r>
              <w:t>Présent uniquement Scotia</w:t>
            </w:r>
          </w:p>
        </w:tc>
      </w:tr>
      <w:tr>
        <w:tc>
          <w:tcPr>
            <w:tcW w:type="dxa" w:w="2160"/>
          </w:tcPr>
          <w:p>
            <w:r>
              <w:t>policyId (UUID)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Présent</w:t>
            </w:r>
          </w:p>
        </w:tc>
        <w:tc>
          <w:tcPr>
            <w:tcW w:type="dxa" w:w="2160"/>
          </w:tcPr>
          <w:p>
            <w:r>
              <w:t>Champ additionnel</w:t>
            </w:r>
          </w:p>
        </w:tc>
      </w:tr>
    </w:tbl>
    <w:p>
      <w:pPr>
        <w:pStyle w:val="Heading2"/>
      </w:pPr>
      <w:r>
        <w:t>3.3 Structure JSON – Réponse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Élément / Bloc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Différence</w:t>
            </w:r>
          </w:p>
        </w:tc>
      </w:tr>
      <w:tr>
        <w:tc>
          <w:tcPr>
            <w:tcW w:type="dxa" w:w="2160"/>
          </w:tcPr>
          <w:p>
            <w:r>
              <w:t>Réponse succès (200)</w:t>
            </w:r>
          </w:p>
        </w:tc>
        <w:tc>
          <w:tcPr>
            <w:tcW w:type="dxa" w:w="2160"/>
          </w:tcPr>
          <w:p>
            <w:r>
              <w:t>{policyNumber, externalCustomerID, transactionEffectiveDate}</w:t>
            </w:r>
          </w:p>
        </w:tc>
        <w:tc>
          <w:tcPr>
            <w:tcW w:type="dxa" w:w="2160"/>
          </w:tcPr>
          <w:p>
            <w:r>
              <w:t>{status, policyNumber, timestamp}</w:t>
            </w:r>
          </w:p>
        </w:tc>
        <w:tc>
          <w:tcPr>
            <w:tcW w:type="dxa" w:w="2160"/>
          </w:tcPr>
          <w:p>
            <w:r>
              <w:t>Structure différente</w:t>
            </w:r>
          </w:p>
        </w:tc>
      </w:tr>
      <w:tr>
        <w:tc>
          <w:tcPr>
            <w:tcW w:type="dxa" w:w="2160"/>
          </w:tcPr>
          <w:p>
            <w:r>
              <w:t>Réponse erreur (422)</w:t>
            </w:r>
          </w:p>
        </w:tc>
        <w:tc>
          <w:tcPr>
            <w:tcW w:type="dxa" w:w="2160"/>
          </w:tcPr>
          <w:p>
            <w:r>
              <w:t>timestamp, errorCode, error, message, errors[]</w:t>
            </w:r>
          </w:p>
        </w:tc>
        <w:tc>
          <w:tcPr>
            <w:tcW w:type="dxa" w:w="2160"/>
          </w:tcPr>
          <w:p>
            <w:r>
              <w:t>errorCode, message, errors[{errorCode, message}]</w:t>
            </w:r>
          </w:p>
        </w:tc>
        <w:tc>
          <w:tcPr>
            <w:tcW w:type="dxa" w:w="2160"/>
          </w:tcPr>
          <w:p>
            <w:r>
              <w:t>Simplifiée côté Scotia</w:t>
            </w:r>
          </w:p>
        </w:tc>
      </w:tr>
      <w:tr>
        <w:tc>
          <w:tcPr>
            <w:tcW w:type="dxa" w:w="2160"/>
          </w:tcPr>
          <w:p>
            <w:r>
              <w:t>Typologie d’erreur</w:t>
            </w:r>
          </w:p>
        </w:tc>
        <w:tc>
          <w:tcPr>
            <w:tcW w:type="dxa" w:w="2160"/>
          </w:tcPr>
          <w:p>
            <w:r>
              <w:t>Bad Request / Unprocessable Entity</w:t>
            </w:r>
          </w:p>
        </w:tc>
        <w:tc>
          <w:tcPr>
            <w:tcW w:type="dxa" w:w="2160"/>
          </w:tcPr>
          <w:p>
            <w:r>
              <w:t>ERROR_SERVICE_VALIDATION (MANDATORY, Validation errors)</w:t>
            </w:r>
          </w:p>
        </w:tc>
        <w:tc>
          <w:tcPr>
            <w:tcW w:type="dxa" w:w="2160"/>
          </w:tcPr>
          <w:p>
            <w:r>
              <w:t>Différence structurelle et sémantique</w:t>
            </w:r>
          </w:p>
        </w:tc>
      </w:tr>
    </w:tbl>
    <w:p>
      <w:pPr>
        <w:pStyle w:val="Heading2"/>
      </w:pPr>
      <w:r>
        <w:t>3.4 Synthèse Cancellation API</w:t>
      </w:r>
    </w:p>
    <w:p>
      <w:r>
        <w:br/>
        <w:t>L’API d’annulation présente des différences notables : ScotiaBank ajoute des sous-blocs financiers (refund, commissionRecovery)</w:t>
        <w:br/>
        <w:t>et enrichit la sémantique des raisons d’annulation. Les réponses suivent une structure normalisée (status, timestamp)</w:t>
        <w:br/>
        <w:t>et des formats de date ISO 8601 UTC, tandis que Coppel conserve un schéma plus plat et localisé.</w:t>
        <w:br/>
      </w:r>
    </w:p>
    <w:p>
      <w:pPr>
        <w:pStyle w:val="Heading1"/>
      </w:pPr>
      <w:r>
        <w:t>4. Synthèse globale</w:t>
      </w:r>
    </w:p>
    <w:p>
      <w:r>
        <w:br/>
        <w:t>Les API EIS de Coppel et de ScotiaBank partagent une logique métier similaire mais divergent sur le plan de la structuration JSON.</w:t>
        <w:br/>
        <w:t>ScotiaBank applique une modélisation plus modulaire conforme aux standards DXP, avec gestion des sous-objets et formatage UTC standardisé.</w:t>
        <w:br/>
        <w:t>Coppel reste sur une approche compacte, orientée métier, mais moins normalisée.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