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F5 → CIS Migration Plan</w:t>
      </w:r>
    </w:p>
    <w:p>
      <w:r>
        <w:t>Project: CIDP / DXP – WAF Migration (F5 to IBM Cloud CIS – FS Cloud)</w:t>
        <w:br/>
        <w:t>Prepared by: EIS Infra Team</w:t>
        <w:br/>
        <w:t>Date: October 2025</w:t>
      </w:r>
    </w:p>
    <w:p>
      <w:pPr>
        <w:pStyle w:val="Heading2"/>
      </w:pPr>
      <w:r>
        <w:t>General Configuration</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Target platform</w:t>
            </w:r>
          </w:p>
        </w:tc>
        <w:tc>
          <w:tcPr>
            <w:tcW w:type="dxa" w:w="4320"/>
          </w:tcPr>
          <w:p>
            <w:r>
              <w:t>IBM Cloud CIS (FS Cloud)</w:t>
            </w:r>
          </w:p>
        </w:tc>
      </w:tr>
      <w:tr>
        <w:tc>
          <w:tcPr>
            <w:tcW w:type="dxa" w:w="4320"/>
          </w:tcPr>
          <w:p>
            <w:r>
              <w:t>TLS configuration</w:t>
            </w:r>
          </w:p>
        </w:tc>
        <w:tc>
          <w:tcPr>
            <w:tcW w:type="dxa" w:w="4320"/>
          </w:tcPr>
          <w:p>
            <w:r>
              <w:t>TLS 1.2 only (Apigee not compatible with TLS 1.3)</w:t>
            </w:r>
          </w:p>
        </w:tc>
      </w:tr>
      <w:tr>
        <w:tc>
          <w:tcPr>
            <w:tcW w:type="dxa" w:w="4320"/>
          </w:tcPr>
          <w:p>
            <w:r>
              <w:t>Scope</w:t>
            </w:r>
          </w:p>
        </w:tc>
        <w:tc>
          <w:tcPr>
            <w:tcW w:type="dxa" w:w="4320"/>
          </w:tcPr>
          <w:p>
            <w:r>
              <w:t>Application and DevTools endpoints</w:t>
            </w:r>
          </w:p>
        </w:tc>
      </w:tr>
      <w:tr>
        <w:tc>
          <w:tcPr>
            <w:tcW w:type="dxa" w:w="4320"/>
          </w:tcPr>
          <w:p>
            <w:r>
              <w:t>Success criteria</w:t>
            </w:r>
          </w:p>
        </w:tc>
        <w:tc>
          <w:tcPr>
            <w:tcW w:type="dxa" w:w="4320"/>
          </w:tcPr>
          <w:p>
            <w:r>
              <w:t>URLs reachable via HTTPS after migration</w:t>
            </w:r>
          </w:p>
        </w:tc>
      </w:tr>
    </w:tbl>
    <w:p>
      <w:r>
        <w:br w:type="page"/>
      </w:r>
    </w:p>
    <w:p>
      <w:pPr>
        <w:pStyle w:val="Heading2"/>
      </w:pPr>
      <w:r>
        <w:t>URL &amp; API Test Plan</w:t>
      </w:r>
    </w:p>
    <w:p>
      <w:r>
        <w:t>This plan validates both the accessibility of application and DevTools URLs, and the functional reachability of APIs migrated from F5 WAF to IBM Cloud CIS. It ensures that URLs are reachable, APIs behave consistently through Swagger and Postman (via Apigee), and idle session timeouts work as expected after 30 minutes of inactivity.</w:t>
      </w:r>
    </w:p>
    <w:p>
      <w:pPr>
        <w:pStyle w:val="Heading3"/>
      </w:pPr>
      <w:r>
        <w:t>Scope</w:t>
      </w:r>
    </w:p>
    <w:p>
      <w:r>
        <w:t>Covers all application and API endpoints across environments APP01 → APP07 (DEV), UAT, STAGE, and PROD. Includes application URLs, DevTools URLs, and selected APIs exposed via Apigee and Swagger.</w:t>
      </w:r>
    </w:p>
    <w:p>
      <w:pPr>
        <w:pStyle w:val="Heading3"/>
      </w:pPr>
      <w:r>
        <w:t>Test Methodology</w:t>
      </w:r>
    </w:p>
    <w:tbl>
      <w:tblPr>
        <w:tblW w:type="auto" w:w="0"/>
        <w:tblLook w:firstColumn="1" w:firstRow="1" w:lastColumn="0" w:lastRow="0" w:noHBand="0" w:noVBand="1" w:val="04A0"/>
      </w:tblPr>
      <w:tblGrid>
        <w:gridCol w:w="2160"/>
        <w:gridCol w:w="2160"/>
        <w:gridCol w:w="2160"/>
        <w:gridCol w:w="2160"/>
      </w:tblGrid>
      <w:tr>
        <w:tc>
          <w:tcPr>
            <w:tcW w:type="dxa" w:w="2160"/>
          </w:tcPr>
          <w:p>
            <w:r>
              <w:t>Test Type</w:t>
            </w:r>
          </w:p>
        </w:tc>
        <w:tc>
          <w:tcPr>
            <w:tcW w:type="dxa" w:w="2160"/>
          </w:tcPr>
          <w:p>
            <w:r>
              <w:t>Description</w:t>
            </w:r>
          </w:p>
        </w:tc>
        <w:tc>
          <w:tcPr>
            <w:tcW w:type="dxa" w:w="2160"/>
          </w:tcPr>
          <w:p>
            <w:r>
              <w:t>Tool / Method</w:t>
            </w:r>
          </w:p>
        </w:tc>
        <w:tc>
          <w:tcPr>
            <w:tcW w:type="dxa" w:w="2160"/>
          </w:tcPr>
          <w:p>
            <w:r>
              <w:t>Expected Outcome</w:t>
            </w:r>
          </w:p>
        </w:tc>
      </w:tr>
      <w:tr>
        <w:tc>
          <w:tcPr>
            <w:tcW w:type="dxa" w:w="2160"/>
          </w:tcPr>
          <w:p>
            <w:r>
              <w:t>Reachability Test</w:t>
            </w:r>
          </w:p>
        </w:tc>
        <w:tc>
          <w:tcPr>
            <w:tcW w:type="dxa" w:w="2160"/>
          </w:tcPr>
          <w:p>
            <w:r>
              <w:t>Open application URLs to confirm they load correctly</w:t>
            </w:r>
          </w:p>
        </w:tc>
        <w:tc>
          <w:tcPr>
            <w:tcW w:type="dxa" w:w="2160"/>
          </w:tcPr>
          <w:p>
            <w:r>
              <w:t>Browser</w:t>
            </w:r>
          </w:p>
        </w:tc>
        <w:tc>
          <w:tcPr>
            <w:tcW w:type="dxa" w:w="2160"/>
          </w:tcPr>
          <w:p>
            <w:r>
              <w:t>Page reachable</w:t>
            </w:r>
          </w:p>
        </w:tc>
      </w:tr>
      <w:tr>
        <w:tc>
          <w:tcPr>
            <w:tcW w:type="dxa" w:w="2160"/>
          </w:tcPr>
          <w:p>
            <w:r>
              <w:t>API Connectivity Test</w:t>
            </w:r>
          </w:p>
        </w:tc>
        <w:tc>
          <w:tcPr>
            <w:tcW w:type="dxa" w:w="2160"/>
          </w:tcPr>
          <w:p>
            <w:r>
              <w:t>Validate /dxp-api/ endpoints via Swagger UI and Postman (through Apigee)</w:t>
            </w:r>
          </w:p>
        </w:tc>
        <w:tc>
          <w:tcPr>
            <w:tcW w:type="dxa" w:w="2160"/>
          </w:tcPr>
          <w:p>
            <w:r>
              <w:t>Swagger + Postman</w:t>
            </w:r>
          </w:p>
        </w:tc>
        <w:tc>
          <w:tcPr>
            <w:tcW w:type="dxa" w:w="2160"/>
          </w:tcPr>
          <w:p>
            <w:r>
              <w:t>Successful 200 responses</w:t>
            </w:r>
          </w:p>
        </w:tc>
      </w:tr>
      <w:tr>
        <w:tc>
          <w:tcPr>
            <w:tcW w:type="dxa" w:w="2160"/>
          </w:tcPr>
          <w:p>
            <w:r>
              <w:t>Response Code Validation</w:t>
            </w:r>
          </w:p>
        </w:tc>
        <w:tc>
          <w:tcPr>
            <w:tcW w:type="dxa" w:w="2160"/>
          </w:tcPr>
          <w:p>
            <w:r>
              <w:t>Check that each URL or API returns expected HTTP codes</w:t>
            </w:r>
          </w:p>
        </w:tc>
        <w:tc>
          <w:tcPr>
            <w:tcW w:type="dxa" w:w="2160"/>
          </w:tcPr>
          <w:p>
            <w:r>
              <w:t>Browser console / Postman</w:t>
            </w:r>
          </w:p>
        </w:tc>
        <w:tc>
          <w:tcPr>
            <w:tcW w:type="dxa" w:w="2160"/>
          </w:tcPr>
          <w:p>
            <w:r>
              <w:t>HTTP 200 / 401 / 403 as expected</w:t>
            </w:r>
          </w:p>
        </w:tc>
      </w:tr>
      <w:tr>
        <w:tc>
          <w:tcPr>
            <w:tcW w:type="dxa" w:w="2160"/>
          </w:tcPr>
          <w:p>
            <w:r>
              <w:t>Pattern Verification</w:t>
            </w:r>
          </w:p>
        </w:tc>
        <w:tc>
          <w:tcPr>
            <w:tcW w:type="dxa" w:w="2160"/>
          </w:tcPr>
          <w:p>
            <w:r>
              <w:t>Ensure migrated URL pattern is identical to pre-migration</w:t>
            </w:r>
          </w:p>
        </w:tc>
        <w:tc>
          <w:tcPr>
            <w:tcW w:type="dxa" w:w="2160"/>
          </w:tcPr>
          <w:p>
            <w:r>
              <w:t>Manual comparison</w:t>
            </w:r>
          </w:p>
        </w:tc>
        <w:tc>
          <w:tcPr>
            <w:tcW w:type="dxa" w:w="2160"/>
          </w:tcPr>
          <w:p>
            <w:r>
              <w:t>Identical pattern confirmed</w:t>
            </w:r>
          </w:p>
        </w:tc>
      </w:tr>
      <w:tr>
        <w:tc>
          <w:tcPr>
            <w:tcW w:type="dxa" w:w="2160"/>
          </w:tcPr>
          <w:p>
            <w:r>
              <w:t>Idle Timeout Test (Application Pages)</w:t>
            </w:r>
          </w:p>
        </w:tc>
        <w:tc>
          <w:tcPr>
            <w:tcW w:type="dxa" w:w="2160"/>
          </w:tcPr>
          <w:p>
            <w:r>
              <w:t>Keep page inactive for 30 min to check session timeout or persistence</w:t>
            </w:r>
          </w:p>
        </w:tc>
        <w:tc>
          <w:tcPr>
            <w:tcW w:type="dxa" w:w="2160"/>
          </w:tcPr>
          <w:p>
            <w:r>
              <w:t>Browser (Timer)</w:t>
            </w:r>
          </w:p>
        </w:tc>
        <w:tc>
          <w:tcPr>
            <w:tcW w:type="dxa" w:w="2160"/>
          </w:tcPr>
          <w:p>
            <w:r>
              <w:t>Expected timeout behavior confirmed</w:t>
            </w:r>
          </w:p>
        </w:tc>
      </w:tr>
      <w:tr>
        <w:tc>
          <w:tcPr>
            <w:tcW w:type="dxa" w:w="2160"/>
          </w:tcPr>
          <w:p>
            <w:r>
              <w:t>Post-Migration Monitoring</w:t>
            </w:r>
          </w:p>
        </w:tc>
        <w:tc>
          <w:tcPr>
            <w:tcW w:type="dxa" w:w="2160"/>
          </w:tcPr>
          <w:p>
            <w:r>
              <w:t>Observe CIS &amp; Datadog logs post-migration</w:t>
            </w:r>
          </w:p>
        </w:tc>
        <w:tc>
          <w:tcPr>
            <w:tcW w:type="dxa" w:w="2160"/>
          </w:tcPr>
          <w:p>
            <w:r>
              <w:t>CIS Analytics / Datadog</w:t>
            </w:r>
          </w:p>
        </w:tc>
        <w:tc>
          <w:tcPr>
            <w:tcW w:type="dxa" w:w="2160"/>
          </w:tcPr>
          <w:p>
            <w:r>
              <w:t>No routing or SSL anomalies detected</w:t>
            </w:r>
          </w:p>
        </w:tc>
      </w:tr>
    </w:tbl>
    <w:p>
      <w:pPr>
        <w:pStyle w:val="Heading3"/>
      </w:pPr>
      <w:r>
        <w:t>Test Execution Steps</w:t>
      </w:r>
    </w:p>
    <w:p>
      <w:pPr>
        <w:pStyle w:val="ListNumber"/>
      </w:pPr>
      <w:r>
        <w:t>1. Pre-Migration Baseline: Record existing URL and API patterns (F5). Capture screenshots and Postman results.</w:t>
      </w:r>
    </w:p>
    <w:p>
      <w:pPr>
        <w:pStyle w:val="ListNumber"/>
      </w:pPr>
      <w:r>
        <w:t>2. Migration Execution: Apply configuration on IBM Cloud CIS and redirect DNS from F5 to CIS.</w:t>
      </w:r>
    </w:p>
    <w:p>
      <w:pPr>
        <w:pStyle w:val="ListNumber"/>
      </w:pPr>
      <w:r>
        <w:t>3. Post-Migration Verification: Re-test all URLs (Browser, Postman) and APIs (Swagger + Apigee). Perform 30-min idle test for application pages.</w:t>
      </w:r>
    </w:p>
    <w:p>
      <w:pPr>
        <w:pStyle w:val="ListNumber"/>
      </w:pPr>
      <w:r>
        <w:t>4. Reporting: Document results, highlight anomalies, validate resolution before moving to next environment.</w:t>
      </w:r>
    </w:p>
    <w:p>
      <w:pPr>
        <w:pStyle w:val="Heading3"/>
      </w:pPr>
      <w:r>
        <w:t>API Test Plan</w:t>
      </w:r>
    </w:p>
    <w:p>
      <w:r>
        <w:t>Validate a representative subset of APIs through Swagger (direct backend) and Postman (via Apigee) to ensure routing consistency, response codes, and data integrity.</w:t>
      </w:r>
    </w:p>
    <w:tbl>
      <w:tblPr>
        <w:tblW w:type="auto" w:w="0"/>
        <w:tblLook w:firstColumn="1" w:firstRow="1" w:lastColumn="0" w:lastRow="0" w:noHBand="0" w:noVBand="1" w:val="04A0"/>
      </w:tblPr>
      <w:tblGrid>
        <w:gridCol w:w="2160"/>
        <w:gridCol w:w="2160"/>
        <w:gridCol w:w="2160"/>
        <w:gridCol w:w="2160"/>
      </w:tblGrid>
      <w:tr>
        <w:tc>
          <w:tcPr>
            <w:tcW w:type="dxa" w:w="2160"/>
          </w:tcPr>
          <w:p>
            <w:r>
              <w:t>Environment</w:t>
            </w:r>
          </w:p>
        </w:tc>
        <w:tc>
          <w:tcPr>
            <w:tcW w:type="dxa" w:w="2160"/>
          </w:tcPr>
          <w:p>
            <w:r>
              <w:t>API Access Type</w:t>
            </w:r>
          </w:p>
        </w:tc>
        <w:tc>
          <w:tcPr>
            <w:tcW w:type="dxa" w:w="2160"/>
          </w:tcPr>
          <w:p>
            <w:r>
              <w:t>Tool</w:t>
            </w:r>
          </w:p>
        </w:tc>
        <w:tc>
          <w:tcPr>
            <w:tcW w:type="dxa" w:w="2160"/>
          </w:tcPr>
          <w:p>
            <w:r>
              <w:t>Base URL</w:t>
            </w:r>
          </w:p>
        </w:tc>
      </w:tr>
      <w:tr>
        <w:tc>
          <w:tcPr>
            <w:tcW w:type="dxa" w:w="2160"/>
          </w:tcPr>
          <w:p>
            <w:r>
              <w:t>DEV / APP01</w:t>
            </w:r>
          </w:p>
        </w:tc>
        <w:tc>
          <w:tcPr>
            <w:tcW w:type="dxa" w:w="2160"/>
          </w:tcPr>
          <w:p>
            <w:r>
              <w:t>Direct (Swagger UI)</w:t>
            </w:r>
          </w:p>
        </w:tc>
        <w:tc>
          <w:tcPr>
            <w:tcW w:type="dxa" w:w="2160"/>
          </w:tcPr>
          <w:p>
            <w:r>
              <w:t>Browser</w:t>
            </w:r>
          </w:p>
        </w:tc>
        <w:tc>
          <w:tcPr>
            <w:tcW w:type="dxa" w:w="2160"/>
          </w:tcPr>
          <w:p>
            <w:r>
              <w:t>https://ibm01cidpdevapp01glb.dev.ibm01.cidp.cloud/dxp-api/swagger-ui/</w:t>
            </w:r>
          </w:p>
        </w:tc>
      </w:tr>
      <w:tr>
        <w:tc>
          <w:tcPr>
            <w:tcW w:type="dxa" w:w="2160"/>
          </w:tcPr>
          <w:p>
            <w:r>
              <w:t>DEV / APP01</w:t>
            </w:r>
          </w:p>
        </w:tc>
        <w:tc>
          <w:tcPr>
            <w:tcW w:type="dxa" w:w="2160"/>
          </w:tcPr>
          <w:p>
            <w:r>
              <w:t>Through Apigee</w:t>
            </w:r>
          </w:p>
        </w:tc>
        <w:tc>
          <w:tcPr>
            <w:tcW w:type="dxa" w:w="2160"/>
          </w:tcPr>
          <w:p>
            <w:r>
              <w:t>Postman</w:t>
            </w:r>
          </w:p>
        </w:tc>
        <w:tc>
          <w:tcPr>
            <w:tcW w:type="dxa" w:w="2160"/>
          </w:tcPr>
          <w:p>
            <w:r>
              <w:t>https://api-dev.cidp.cloud/dxp-api/</w:t>
            </w:r>
          </w:p>
        </w:tc>
      </w:tr>
      <w:tr>
        <w:tc>
          <w:tcPr>
            <w:tcW w:type="dxa" w:w="2160"/>
          </w:tcPr>
          <w:p>
            <w:r>
              <w:t>UAT</w:t>
            </w:r>
          </w:p>
        </w:tc>
        <w:tc>
          <w:tcPr>
            <w:tcW w:type="dxa" w:w="2160"/>
          </w:tcPr>
          <w:p>
            <w:r>
              <w:t>Through Apigee</w:t>
            </w:r>
          </w:p>
        </w:tc>
        <w:tc>
          <w:tcPr>
            <w:tcW w:type="dxa" w:w="2160"/>
          </w:tcPr>
          <w:p>
            <w:r>
              <w:t>Postman</w:t>
            </w:r>
          </w:p>
        </w:tc>
        <w:tc>
          <w:tcPr>
            <w:tcW w:type="dxa" w:w="2160"/>
          </w:tcPr>
          <w:p>
            <w:r>
              <w:t>https://api-uat.cidp.cloud/dxp-api/</w:t>
            </w:r>
          </w:p>
        </w:tc>
      </w:tr>
      <w:tr>
        <w:tc>
          <w:tcPr>
            <w:tcW w:type="dxa" w:w="2160"/>
          </w:tcPr>
          <w:p>
            <w:r>
              <w:t>PROD</w:t>
            </w:r>
          </w:p>
        </w:tc>
        <w:tc>
          <w:tcPr>
            <w:tcW w:type="dxa" w:w="2160"/>
          </w:tcPr>
          <w:p>
            <w:r>
              <w:t>Through Apigee</w:t>
            </w:r>
          </w:p>
        </w:tc>
        <w:tc>
          <w:tcPr>
            <w:tcW w:type="dxa" w:w="2160"/>
          </w:tcPr>
          <w:p>
            <w:r>
              <w:t>Postman</w:t>
            </w:r>
          </w:p>
        </w:tc>
        <w:tc>
          <w:tcPr>
            <w:tcW w:type="dxa" w:w="2160"/>
          </w:tcPr>
          <w:p>
            <w:r>
              <w:t>https://api.cidp.cloud/dxp-api/</w:t>
            </w:r>
          </w:p>
        </w:tc>
      </w:tr>
    </w:tbl>
    <w:p>
      <w:pPr>
        <w:pStyle w:val="Heading3"/>
      </w:pPr>
      <w:r>
        <w:t>API Test Sequence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API Endpoint</w:t>
            </w:r>
          </w:p>
        </w:tc>
        <w:tc>
          <w:tcPr>
            <w:tcW w:type="dxa" w:w="1440"/>
          </w:tcPr>
          <w:p>
            <w:r>
              <w:t>Method</w:t>
            </w:r>
          </w:p>
        </w:tc>
        <w:tc>
          <w:tcPr>
            <w:tcW w:type="dxa" w:w="1440"/>
          </w:tcPr>
          <w:p>
            <w:r>
              <w:t>Tool</w:t>
            </w:r>
          </w:p>
        </w:tc>
        <w:tc>
          <w:tcPr>
            <w:tcW w:type="dxa" w:w="1440"/>
          </w:tcPr>
          <w:p>
            <w:r>
              <w:t>Expected Response</w:t>
            </w:r>
          </w:p>
        </w:tc>
        <w:tc>
          <w:tcPr>
            <w:tcW w:type="dxa" w:w="1440"/>
          </w:tcPr>
          <w:p>
            <w:r>
              <w:t>Notes</w:t>
            </w:r>
          </w:p>
        </w:tc>
      </w:tr>
      <w:tr>
        <w:tc>
          <w:tcPr>
            <w:tcW w:type="dxa" w:w="1440"/>
          </w:tcPr>
          <w:p>
            <w:r>
              <w:t>1</w:t>
            </w:r>
          </w:p>
        </w:tc>
        <w:tc>
          <w:tcPr>
            <w:tcW w:type="dxa" w:w="1440"/>
          </w:tcPr>
          <w:p>
            <w:r>
              <w:t>/dxp-api/auth/login</w:t>
            </w:r>
          </w:p>
        </w:tc>
        <w:tc>
          <w:tcPr>
            <w:tcW w:type="dxa" w:w="1440"/>
          </w:tcPr>
          <w:p>
            <w:r>
              <w:t>POST</w:t>
            </w:r>
          </w:p>
        </w:tc>
        <w:tc>
          <w:tcPr>
            <w:tcW w:type="dxa" w:w="1440"/>
          </w:tcPr>
          <w:p>
            <w:r>
              <w:t>Swagger + Postman</w:t>
            </w:r>
          </w:p>
        </w:tc>
        <w:tc>
          <w:tcPr>
            <w:tcW w:type="dxa" w:w="1440"/>
          </w:tcPr>
          <w:p>
            <w:r>
              <w:t>HTTP 200 (token issued)</w:t>
            </w:r>
          </w:p>
        </w:tc>
        <w:tc>
          <w:tcPr>
            <w:tcW w:type="dxa" w:w="1440"/>
          </w:tcPr>
          <w:p>
            <w:r>
              <w:t>Authentication test</w:t>
            </w:r>
          </w:p>
        </w:tc>
      </w:tr>
      <w:tr>
        <w:tc>
          <w:tcPr>
            <w:tcW w:type="dxa" w:w="1440"/>
          </w:tcPr>
          <w:p>
            <w:r>
              <w:t>2</w:t>
            </w:r>
          </w:p>
        </w:tc>
        <w:tc>
          <w:tcPr>
            <w:tcW w:type="dxa" w:w="1440"/>
          </w:tcPr>
          <w:p>
            <w:r>
              <w:t>/dxp-api/customers/{id}</w:t>
            </w:r>
          </w:p>
        </w:tc>
        <w:tc>
          <w:tcPr>
            <w:tcW w:type="dxa" w:w="1440"/>
          </w:tcPr>
          <w:p>
            <w:r>
              <w:t>GET</w:t>
            </w:r>
          </w:p>
        </w:tc>
        <w:tc>
          <w:tcPr>
            <w:tcW w:type="dxa" w:w="1440"/>
          </w:tcPr>
          <w:p>
            <w:r>
              <w:t>Swagger + Postman</w:t>
            </w:r>
          </w:p>
        </w:tc>
        <w:tc>
          <w:tcPr>
            <w:tcW w:type="dxa" w:w="1440"/>
          </w:tcPr>
          <w:p>
            <w:r>
              <w:t>HTTP 200 (customer data)</w:t>
            </w:r>
          </w:p>
        </w:tc>
        <w:tc>
          <w:tcPr>
            <w:tcW w:type="dxa" w:w="1440"/>
          </w:tcPr>
          <w:p>
            <w:r>
              <w:t>Verify data integrity</w:t>
            </w:r>
          </w:p>
        </w:tc>
      </w:tr>
      <w:tr>
        <w:tc>
          <w:tcPr>
            <w:tcW w:type="dxa" w:w="1440"/>
          </w:tcPr>
          <w:p>
            <w:r>
              <w:t>3</w:t>
            </w:r>
          </w:p>
        </w:tc>
        <w:tc>
          <w:tcPr>
            <w:tcW w:type="dxa" w:w="1440"/>
          </w:tcPr>
          <w:p>
            <w:r>
              <w:t>/dxp-api/customers</w:t>
            </w:r>
          </w:p>
        </w:tc>
        <w:tc>
          <w:tcPr>
            <w:tcW w:type="dxa" w:w="1440"/>
          </w:tcPr>
          <w:p>
            <w:r>
              <w:t>POST</w:t>
            </w:r>
          </w:p>
        </w:tc>
        <w:tc>
          <w:tcPr>
            <w:tcW w:type="dxa" w:w="1440"/>
          </w:tcPr>
          <w:p>
            <w:r>
              <w:t>Postman</w:t>
            </w:r>
          </w:p>
        </w:tc>
        <w:tc>
          <w:tcPr>
            <w:tcW w:type="dxa" w:w="1440"/>
          </w:tcPr>
          <w:p>
            <w:r>
              <w:t>HTTP 201 (customer created)</w:t>
            </w:r>
          </w:p>
        </w:tc>
        <w:tc>
          <w:tcPr>
            <w:tcW w:type="dxa" w:w="1440"/>
          </w:tcPr>
          <w:p>
            <w:r>
              <w:t>Data creation test</w:t>
            </w:r>
          </w:p>
        </w:tc>
      </w:tr>
      <w:tr>
        <w:tc>
          <w:tcPr>
            <w:tcW w:type="dxa" w:w="1440"/>
          </w:tcPr>
          <w:p>
            <w:r>
              <w:t>4</w:t>
            </w:r>
          </w:p>
        </w:tc>
        <w:tc>
          <w:tcPr>
            <w:tcW w:type="dxa" w:w="1440"/>
          </w:tcPr>
          <w:p>
            <w:r>
              <w:t>/dxp-api/orders/{id}</w:t>
            </w:r>
          </w:p>
        </w:tc>
        <w:tc>
          <w:tcPr>
            <w:tcW w:type="dxa" w:w="1440"/>
          </w:tcPr>
          <w:p>
            <w:r>
              <w:t>GET</w:t>
            </w:r>
          </w:p>
        </w:tc>
        <w:tc>
          <w:tcPr>
            <w:tcW w:type="dxa" w:w="1440"/>
          </w:tcPr>
          <w:p>
            <w:r>
              <w:t>Swagger + Postman</w:t>
            </w:r>
          </w:p>
        </w:tc>
        <w:tc>
          <w:tcPr>
            <w:tcW w:type="dxa" w:w="1440"/>
          </w:tcPr>
          <w:p>
            <w:r>
              <w:t>HTTP 200 (order details)</w:t>
            </w:r>
          </w:p>
        </w:tc>
        <w:tc>
          <w:tcPr>
            <w:tcW w:type="dxa" w:w="1440"/>
          </w:tcPr>
          <w:p>
            <w:r>
              <w:t>Routing verification</w:t>
            </w:r>
          </w:p>
        </w:tc>
      </w:tr>
      <w:tr>
        <w:tc>
          <w:tcPr>
            <w:tcW w:type="dxa" w:w="1440"/>
          </w:tcPr>
          <w:p>
            <w:r>
              <w:t>5</w:t>
            </w:r>
          </w:p>
        </w:tc>
        <w:tc>
          <w:tcPr>
            <w:tcW w:type="dxa" w:w="1440"/>
          </w:tcPr>
          <w:p>
            <w:r>
              <w:t>/dxp-api/orders</w:t>
            </w:r>
          </w:p>
        </w:tc>
        <w:tc>
          <w:tcPr>
            <w:tcW w:type="dxa" w:w="1440"/>
          </w:tcPr>
          <w:p>
            <w:r>
              <w:t>POST</w:t>
            </w:r>
          </w:p>
        </w:tc>
        <w:tc>
          <w:tcPr>
            <w:tcW w:type="dxa" w:w="1440"/>
          </w:tcPr>
          <w:p>
            <w:r>
              <w:t>Postman</w:t>
            </w:r>
          </w:p>
        </w:tc>
        <w:tc>
          <w:tcPr>
            <w:tcW w:type="dxa" w:w="1440"/>
          </w:tcPr>
          <w:p>
            <w:r>
              <w:t>HTTP 201 (order created)</w:t>
            </w:r>
          </w:p>
        </w:tc>
        <w:tc>
          <w:tcPr>
            <w:tcW w:type="dxa" w:w="1440"/>
          </w:tcPr>
          <w:p>
            <w:r>
              <w:t>Schema validation</w:t>
            </w:r>
          </w:p>
        </w:tc>
      </w:tr>
      <w:tr>
        <w:tc>
          <w:tcPr>
            <w:tcW w:type="dxa" w:w="1440"/>
          </w:tcPr>
          <w:p>
            <w:r>
              <w:t>6</w:t>
            </w:r>
          </w:p>
        </w:tc>
        <w:tc>
          <w:tcPr>
            <w:tcW w:type="dxa" w:w="1440"/>
          </w:tcPr>
          <w:p>
            <w:r>
              <w:t>/dxp-api/reports/summary</w:t>
            </w:r>
          </w:p>
        </w:tc>
        <w:tc>
          <w:tcPr>
            <w:tcW w:type="dxa" w:w="1440"/>
          </w:tcPr>
          <w:p>
            <w:r>
              <w:t>GET</w:t>
            </w:r>
          </w:p>
        </w:tc>
        <w:tc>
          <w:tcPr>
            <w:tcW w:type="dxa" w:w="1440"/>
          </w:tcPr>
          <w:p>
            <w:r>
              <w:t>Swagger + Postman</w:t>
            </w:r>
          </w:p>
        </w:tc>
        <w:tc>
          <w:tcPr>
            <w:tcW w:type="dxa" w:w="1440"/>
          </w:tcPr>
          <w:p>
            <w:r>
              <w:t>HTTP 200 (JSON payload)</w:t>
            </w:r>
          </w:p>
        </w:tc>
        <w:tc>
          <w:tcPr>
            <w:tcW w:type="dxa" w:w="1440"/>
          </w:tcPr>
          <w:p>
            <w:r>
              <w:t>Large response validation</w:t>
            </w:r>
          </w:p>
        </w:tc>
      </w:tr>
      <w:tr>
        <w:tc>
          <w:tcPr>
            <w:tcW w:type="dxa" w:w="1440"/>
          </w:tcPr>
          <w:p>
            <w:r>
              <w:t>7</w:t>
            </w:r>
          </w:p>
        </w:tc>
        <w:tc>
          <w:tcPr>
            <w:tcW w:type="dxa" w:w="1440"/>
          </w:tcPr>
          <w:p>
            <w:r>
              <w:t>/dxp-api/logout</w:t>
            </w:r>
          </w:p>
        </w:tc>
        <w:tc>
          <w:tcPr>
            <w:tcW w:type="dxa" w:w="1440"/>
          </w:tcPr>
          <w:p>
            <w:r>
              <w:t>POST</w:t>
            </w:r>
          </w:p>
        </w:tc>
        <w:tc>
          <w:tcPr>
            <w:tcW w:type="dxa" w:w="1440"/>
          </w:tcPr>
          <w:p>
            <w:r>
              <w:t>Swagger + Postman</w:t>
            </w:r>
          </w:p>
        </w:tc>
        <w:tc>
          <w:tcPr>
            <w:tcW w:type="dxa" w:w="1440"/>
          </w:tcPr>
          <w:p>
            <w:r>
              <w:t>HTTP 200 (session closed)</w:t>
            </w:r>
          </w:p>
        </w:tc>
        <w:tc>
          <w:tcPr>
            <w:tcW w:type="dxa" w:w="1440"/>
          </w:tcPr>
          <w:p>
            <w:r>
              <w:t>Token invalidation</w:t>
            </w:r>
          </w:p>
        </w:tc>
      </w:tr>
    </w:tbl>
    <w:p>
      <w:pPr>
        <w:pStyle w:val="Heading3"/>
      </w:pPr>
      <w:r>
        <w:t>Validation Criteria</w:t>
      </w:r>
    </w:p>
    <w:p>
      <w:r>
        <w:t>• All APIs respond with 200 or expected 4xx codes via Swagger and Postman.</w:t>
      </w:r>
    </w:p>
    <w:p>
      <w:r>
        <w:t>• No routing or CORS errors from Apigee Gateway.</w:t>
      </w:r>
    </w:p>
    <w:p>
      <w:r>
        <w:t>• Response times stable (&lt;1s via Swagger, &lt;2s via Apigee).</w:t>
      </w:r>
    </w:p>
    <w:p>
      <w:r>
        <w:t>• Payloads and schemas consistent across channels.</w:t>
      </w:r>
    </w:p>
    <w:p>
      <w:r>
        <w:t>• Idle session timeout validated after 30 minutes for /cidp-app/ pages.</w:t>
      </w:r>
    </w:p>
    <w:p>
      <w:pPr>
        <w:pStyle w:val="Heading3"/>
      </w:pPr>
      <w:r>
        <w:t>Success Criteria</w:t>
      </w:r>
    </w:p>
    <w:p>
      <w:r>
        <w:t>✅ All application URLs are reachable post-migration.</w:t>
      </w:r>
    </w:p>
    <w:p>
      <w:r>
        <w:t>✅ /dxp-api/ endpoints functional via both Swagger and Postman (Apigee).</w:t>
      </w:r>
    </w:p>
    <w:p>
      <w:r>
        <w:t>✅ URL patterns remain consistent across environments.</w:t>
      </w:r>
    </w:p>
    <w:p>
      <w:r>
        <w:t>✅ 30-min idle timeout behavior validated.</w:t>
      </w:r>
    </w:p>
    <w:p>
      <w:r>
        <w:t>✅ No HTTP or routing anomalies detected in CIS or Apigee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