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IDP Global Secret Management – Secrets &amp; Certificates</w:t>
      </w:r>
    </w:p>
    <w:p>
      <w:r>
        <w:t>This page centralizes the inventory of secrets, service accounts, certificates, and technical credentials used across the IDP platform ecosystem.</w:t>
        <w:br/>
        <w:br/>
        <w:t>Sensitive values (passwords, certificates, tokens, API keys, client secrets, etc.) are not stored in Confluence.</w:t>
        <w:br/>
        <w:br/>
        <w:t>All secrets are maintained securely in the KeePass database:</w:t>
        <w:br/>
      </w:r>
    </w:p>
    <w:p>
      <w:pPr>
        <w:pStyle w:val="ListBullet"/>
      </w:pPr>
      <w:r>
        <w:t>KeePass File: biz-platform.kdbx</w:t>
      </w:r>
    </w:p>
    <w:p>
      <w:pPr>
        <w:pStyle w:val="Heading2"/>
      </w:pPr>
      <w:r>
        <w:t>Secret Repository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Repository Type</w:t>
            </w:r>
          </w:p>
        </w:tc>
        <w:tc>
          <w:tcPr>
            <w:tcW w:type="dxa" w:w="4320"/>
          </w:tcPr>
          <w:p>
            <w:r>
              <w:t>KeePass Database</w:t>
            </w:r>
          </w:p>
        </w:tc>
      </w:tr>
      <w:tr>
        <w:tc>
          <w:tcPr>
            <w:tcW w:type="dxa" w:w="4320"/>
          </w:tcPr>
          <w:p>
            <w:r>
              <w:t>File Name</w:t>
            </w:r>
          </w:p>
        </w:tc>
        <w:tc>
          <w:tcPr>
            <w:tcW w:type="dxa" w:w="4320"/>
          </w:tcPr>
          <w:p>
            <w:r>
              <w:t>biz-platform.kdbx</w:t>
            </w:r>
          </w:p>
        </w:tc>
      </w:tr>
      <w:tr>
        <w:tc>
          <w:tcPr>
            <w:tcW w:type="dxa" w:w="4320"/>
          </w:tcPr>
          <w:p>
            <w:r>
              <w:t>Storage Location</w:t>
            </w:r>
          </w:p>
        </w:tc>
        <w:tc>
          <w:tcPr>
            <w:tcW w:type="dxa" w:w="4320"/>
          </w:tcPr>
          <w:p>
            <w:r>
              <w:t>SharePoint</w:t>
            </w:r>
          </w:p>
        </w:tc>
      </w:tr>
      <w:tr>
        <w:tc>
          <w:tcPr>
            <w:tcW w:type="dxa" w:w="4320"/>
          </w:tcPr>
          <w:p>
            <w:r>
              <w:t>Access</w:t>
            </w:r>
          </w:p>
        </w:tc>
        <w:tc>
          <w:tcPr>
            <w:tcW w:type="dxa" w:w="4320"/>
          </w:tcPr>
          <w:p>
            <w:r>
              <w:t>Restricted to authorized IDP team members</w:t>
            </w:r>
          </w:p>
        </w:tc>
      </w:tr>
      <w:tr>
        <w:tc>
          <w:tcPr>
            <w:tcW w:type="dxa" w:w="4320"/>
          </w:tcPr>
          <w:p>
            <w:r>
              <w:t>Content</w:t>
            </w:r>
          </w:p>
        </w:tc>
        <w:tc>
          <w:tcPr>
            <w:tcW w:type="dxa" w:w="4320"/>
          </w:tcPr>
          <w:p>
            <w:r>
              <w:t>Technical accounts, certificates, API credentials, service users, SSO accounts</w:t>
            </w:r>
          </w:p>
        </w:tc>
      </w:tr>
    </w:tbl>
    <w:p>
      <w:pPr>
        <w:pStyle w:val="Heading2"/>
      </w:pPr>
      <w:r>
        <w:t>1. Apigee Hybrid</w:t>
      </w:r>
    </w:p>
    <w:p>
      <w:pPr>
        <w:pStyle w:val="IntenseQuote"/>
      </w:pPr>
      <w:r>
        <w:t>Registered Entries:</w:t>
      </w:r>
    </w:p>
    <w:p>
      <w:pPr>
        <w:pStyle w:val="ListBullet"/>
      </w:pPr>
      <w:r>
        <w:t>Dev</w:t>
      </w:r>
    </w:p>
    <w:p>
      <w:pPr>
        <w:pStyle w:val="ListBullet"/>
      </w:pPr>
      <w:r>
        <w:t>QA</w:t>
      </w:r>
    </w:p>
    <w:p>
      <w:pPr>
        <w:pStyle w:val="ListBullet"/>
      </w:pPr>
      <w:r>
        <w:t>UAT</w:t>
      </w:r>
    </w:p>
    <w:p>
      <w:pPr>
        <w:pStyle w:val="IntenseQuote"/>
      </w:pPr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5303520" cy="9428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27BA69-2FC4-4562-BB90-F08A436BA57A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428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EIS</w:t>
      </w:r>
    </w:p>
    <w:p>
      <w:pPr>
        <w:pStyle w:val="IntenseQuote"/>
      </w:pPr>
      <w:r>
        <w:t>Registered Entries:</w:t>
      </w:r>
    </w:p>
    <w:p>
      <w:pPr>
        <w:pStyle w:val="ListBullet"/>
      </w:pPr>
      <w:r>
        <w:t>APP01 – compte …</w:t>
      </w:r>
    </w:p>
    <w:p>
      <w:pPr>
        <w:pStyle w:val="ListBullet"/>
      </w:pPr>
      <w:r>
        <w:t>cidp-system-user …</w:t>
      </w:r>
    </w:p>
    <w:p>
      <w:pPr>
        <w:pStyle w:val="ListBullet"/>
      </w:pPr>
      <w:r>
        <w:t>QA – UAT</w:t>
      </w:r>
    </w:p>
    <w:p>
      <w:pPr>
        <w:pStyle w:val="IntenseQuote"/>
      </w:pPr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5303520" cy="9428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16D1E6-56FD-4F4C-9640-F49F1829D82D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428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Sugar</w:t>
      </w:r>
    </w:p>
    <w:p>
      <w:pPr>
        <w:pStyle w:val="IntenseQuote"/>
      </w:pPr>
      <w:r>
        <w:t>Registered Entries:</w:t>
      </w:r>
    </w:p>
    <w:p>
      <w:pPr>
        <w:pStyle w:val="ListBullet"/>
      </w:pPr>
      <w:r>
        <w:t>Compte SESAME pour listing document Sugar – Hors production</w:t>
      </w:r>
    </w:p>
    <w:p>
      <w:pPr>
        <w:pStyle w:val="ListBullet"/>
      </w:pPr>
      <w:r>
        <w:t>Compte SESAME pour listing document Sugar – PRODUCTION</w:t>
      </w:r>
    </w:p>
    <w:p>
      <w:pPr>
        <w:pStyle w:val="ListBullet"/>
      </w:pPr>
      <w:r>
        <w:t>Compte SESAME pour upload document dans Sugar – hors production</w:t>
      </w:r>
    </w:p>
    <w:p>
      <w:pPr>
        <w:pStyle w:val="IntenseQuote"/>
      </w:pPr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5303520" cy="9428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8C07B50-7323-46A9-9B90-444625445FC0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428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DXP Portal</w:t>
      </w:r>
    </w:p>
    <w:p>
      <w:pPr>
        <w:pStyle w:val="IntenseQuote"/>
      </w:pPr>
      <w:r>
        <w:t>Registered Entries:</w:t>
      </w:r>
    </w:p>
    <w:p>
      <w:pPr>
        <w:pStyle w:val="ListBullet"/>
      </w:pPr>
      <w:r>
        <w:t>Compte RedhatSSO hors production</w:t>
      </w:r>
    </w:p>
    <w:p>
      <w:pPr>
        <w:pStyle w:val="ListBullet"/>
      </w:pPr>
      <w:r>
        <w:t>Compte RedhatSSO hors production – All agencies</w:t>
      </w:r>
    </w:p>
    <w:p>
      <w:pPr>
        <w:pStyle w:val="ListBullet"/>
      </w:pPr>
      <w:r>
        <w:t>Compte RedhatSSO PRODUCTION</w:t>
      </w:r>
    </w:p>
    <w:p>
      <w:pPr>
        <w:pStyle w:val="IntenseQuote"/>
      </w:pPr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5303520" cy="94284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B06887-6F30-49D2-90DD-6C77043E1B7F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428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 Dynatrace</w:t>
      </w:r>
    </w:p>
    <w:p>
      <w:pPr>
        <w:pStyle w:val="IntenseQuote"/>
      </w:pPr>
      <w:r>
        <w:t>Registered Entries:</w:t>
      </w:r>
    </w:p>
    <w:p>
      <w:pPr>
        <w:pStyle w:val="ListBullet"/>
      </w:pPr>
      <w:r>
        <w:t>Certificat pour compte robot monitoring Dynatrace</w:t>
      </w:r>
    </w:p>
    <w:p>
      <w:pPr>
        <w:pStyle w:val="IntenseQuote"/>
      </w:pPr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5303520" cy="94284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CB73C66-BA5A-4512-9D60-AD4A10DE5548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428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 OneBank Poland</w:t>
      </w:r>
    </w:p>
    <w:p>
      <w:pPr>
        <w:pStyle w:val="IntenseQuote"/>
      </w:pPr>
      <w:r>
        <w:t>Registered Entries:</w:t>
      </w:r>
    </w:p>
    <w:p>
      <w:pPr>
        <w:pStyle w:val="ListBullet"/>
      </w:pPr>
      <w:r>
        <w:t>Compte SESAME TSP – Hors production</w:t>
      </w:r>
    </w:p>
    <w:p>
      <w:pPr>
        <w:pStyle w:val="ListBullet"/>
      </w:pPr>
      <w:r>
        <w:t>eMA non production</w:t>
      </w:r>
    </w:p>
    <w:p>
      <w:pPr>
        <w:pStyle w:val="ListBullet"/>
      </w:pPr>
      <w:r>
        <w:t>SMSAPI</w:t>
      </w:r>
    </w:p>
    <w:p>
      <w:pPr>
        <w:pStyle w:val="IntenseQuote"/>
      </w:pPr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5303520" cy="94284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A5BED7C-A0A3-4215-A4C1-677944C22FA4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428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Security Guidelines</w:t>
      </w:r>
    </w:p>
    <w:p>
      <w:pPr>
        <w:pStyle w:val="ListBullet"/>
      </w:pPr>
      <w:r>
        <w:t>Never store passwords or secret values directly in Confluence.</w:t>
      </w:r>
    </w:p>
    <w:p>
      <w:pPr>
        <w:pStyle w:val="ListBullet"/>
      </w:pPr>
      <w:r>
        <w:t>Access to the KeePass database must be restricted.</w:t>
      </w:r>
    </w:p>
    <w:p>
      <w:pPr>
        <w:pStyle w:val="ListBullet"/>
      </w:pPr>
      <w:r>
        <w:t>Secrets should be updated according to the project security policy.</w:t>
      </w:r>
    </w:p>
    <w:p>
      <w:pPr>
        <w:pStyle w:val="ListBullet"/>
      </w:pPr>
      <w:r>
        <w:t>Production and non-production secrets must remain separated.</w:t>
      </w:r>
    </w:p>
    <w:p>
      <w:pPr>
        <w:pStyle w:val="ListBullet"/>
      </w:pPr>
      <w:r>
        <w:t>Certificates expiration dates should be monitored regularly.</w:t>
      </w:r>
    </w:p>
    <w:p>
      <w:pPr>
        <w:pStyle w:val="ListBullet"/>
      </w:pPr>
      <w:r>
        <w:t>Any new application/service account must be registered in the KeePass repository.</w:t>
      </w:r>
    </w:p>
    <w:p>
      <w:pPr>
        <w:pStyle w:val="Heading2"/>
      </w:pPr>
      <w:r>
        <w:t>SharePoint Reference</w:t>
      </w:r>
    </w:p>
    <w:p>
      <w:r>
        <w:t>[TO BE COMPLETED – SharePoint Link to biz-platform.kdbx]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