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4ADA"/>
          <w:sz w:val="40"/>
        </w:rPr>
        <w:t>Structural Comparison of EIS APIs</w:t>
        <w:br/>
        <w:t>Purchase &amp; Cancellation (Coppel vs ScotiaBank)</w:t>
      </w:r>
    </w:p>
    <w:p>
      <w:pPr>
        <w:jc w:val="center"/>
      </w:pPr>
      <w:r>
        <w:rPr>
          <w:i/>
          <w:sz w:val="24"/>
        </w:rPr>
        <w:t>Dr. Anis Kedidi – IBM Cloud Architect &amp; EIS Expert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br/>
        <w:t>This document provides a detailed comparative analysis between the EIS APIs used by Coppel and ScotiaBank</w:t>
        <w:br/>
        <w:t>for Sales (Purchase API) and Post-Sales (Cancellation API) operations.</w:t>
        <w:br/>
        <w:t>The objective is to highlight the structural differences in JSON models and data modularity,</w:t>
        <w:br/>
        <w:t>while maintaining a business and architectural perspective consistent with insurance domain principles.</w:t>
        <w:br/>
      </w:r>
    </w:p>
    <w:p>
      <w:pPr>
        <w:pStyle w:val="Heading1"/>
      </w:pPr>
      <w:r>
        <w:t>4. Global Synthesis</w:t>
      </w:r>
    </w:p>
    <w:p>
      <w:r>
        <w:br/>
        <w:t>Coppel and ScotiaBank APIs share similar business logic but differ significantly in their JSON structure and level of modularity.</w:t>
        <w:br/>
        <w:t>ScotiaBank adopts a layered, well-structured data model that separates responsibilities through distinct sub-objects,</w:t>
        <w:br/>
        <w:t>whereas Coppel keeps a flatter, single-object design focused on simplicity and functional delivery.</w:t>
        <w:br/>
        <w:t>ScotiaBank’s format provides better scalability, governance, and alignment with DXP and microservice-based integration frameworks.</w:t>
        <w:br/>
      </w:r>
    </w:p>
    <w:p>
      <w:pPr>
        <w:pStyle w:val="Heading1"/>
      </w:pPr>
      <w:r>
        <w:t>5. Sign-off Summary – Key Structural Differences</w:t>
      </w:r>
    </w:p>
    <w:p>
      <w:r>
        <w:t>This section summarizes the main structural differences identified across both APIs.</w:t>
      </w:r>
    </w:p>
    <w:p>
      <w:pPr>
        <w:pStyle w:val="Heading2"/>
      </w:pPr>
      <w:r>
        <w:t>5.1 Purchase API</w:t>
      </w:r>
    </w:p>
    <w:p>
      <w:r>
        <w:br/>
        <w:t>ScotiaBank’s payload follows a clearly defined hierarchical structure, with distinct and well-named sub-objects</w:t>
        <w:br/>
        <w:t>(`product`, `term`, `premium`, `payment`, `salesChannel`). Coppel, on the other hand, keeps most attributes within</w:t>
        <w:br/>
        <w:t>a single, flat `policy` object.</w:t>
        <w:br/>
        <w:t>→ ScotiaBank’s structured approach is architecturally stronger — easier to extend, maintain, and integrate within modular DXP frameworks.</w:t>
        <w:br/>
      </w:r>
    </w:p>
    <w:p>
      <w:r>
        <w:br/>
        <w:t>ScotiaBank applies normalized response and error patterns (`status`, `timestamp`, `errorCode`, `message`),</w:t>
        <w:br/>
        <w:t>whereas Coppel’s model is more verbose and less standardized.</w:t>
        <w:br/>
        <w:t>→ This improves interoperability and simplifies integration governance.</w:t>
        <w:br/>
      </w:r>
    </w:p>
    <w:p>
      <w:pPr>
        <w:pStyle w:val="Heading2"/>
      </w:pPr>
      <w:r>
        <w:t>5.2 Cancellation API</w:t>
      </w:r>
    </w:p>
    <w:p>
      <w:r>
        <w:br/>
        <w:t>ScotiaBank introduces dedicated objects (`refund`, `commissionRecovery`) and structured cancellation details,</w:t>
        <w:br/>
        <w:t>which are absent in Coppel’s schema.</w:t>
        <w:br/>
        <w:t>→ This provides better data traceability and financial reconciliation capabilities.</w:t>
        <w:br/>
      </w:r>
    </w:p>
    <w:p>
      <w:r>
        <w:br/>
        <w:t>ScotiaBank adopts a concise, standardized DXP error structure, while Coppel retains a nested, custom schema.</w:t>
        <w:br/>
        <w:t>→ This supports clearer responses and easier downstream processing.</w:t>
        <w:br/>
      </w:r>
    </w:p>
    <w:p>
      <w:pPr>
        <w:pStyle w:val="Heading2"/>
      </w:pPr>
      <w:r>
        <w:t>5.3 Overall Conclusion</w:t>
      </w:r>
    </w:p>
    <w:p>
      <w:r>
        <w:br/>
        <w:t>Both APIs deliver equivalent business outcomes. However, ScotiaBank’s structural design demonstrates a more mature,</w:t>
        <w:br/>
        <w:t>layered, and modular data model, aligned with modern DXP and integration best practices.</w:t>
        <w:br/>
        <w:t>Coppel’s flat model remains functional but lacks clear object separation, making it harder to scale and govern across</w:t>
        <w:br/>
        <w:t>complex enterprise ecosystems.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