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E21B1" w14:textId="77777777" w:rsidR="004141B7" w:rsidRPr="004141B7" w:rsidRDefault="004141B7" w:rsidP="004141B7">
      <w:proofErr w:type="spellStart"/>
      <w:proofErr w:type="gramStart"/>
      <w:r w:rsidRPr="004141B7">
        <w:t>eliştireceğiniz</w:t>
      </w:r>
      <w:proofErr w:type="spellEnd"/>
      <w:proofErr w:type="gramEnd"/>
      <w:r w:rsidRPr="004141B7">
        <w:t xml:space="preserve"> taşıt yönetim sistemine kasko, trafik sigortası ve genel muayene dışında eklemeniz gereken zorunlu takip modülleri ve alarmlar şunlardır:</w:t>
      </w:r>
    </w:p>
    <w:p w14:paraId="6ABF5425" w14:textId="77777777" w:rsidR="004141B7" w:rsidRPr="004141B7" w:rsidRDefault="004141B7" w:rsidP="004141B7">
      <w:pPr>
        <w:numPr>
          <w:ilvl w:val="0"/>
          <w:numId w:val="1"/>
        </w:numPr>
      </w:pPr>
      <w:r w:rsidRPr="004141B7">
        <w:rPr>
          <w:b/>
          <w:bCs/>
        </w:rPr>
        <w:t>K2 Belgesi ve Taşıt Kartı Yönetimi:</w:t>
      </w:r>
      <w:r w:rsidRPr="004141B7">
        <w:t xml:space="preserve"> K2 yetki belgelerinin geçerlilik süresi 5 yıldır [1]. Sistem, vize tarihinden 60 gün önce uyarı vermelidir. Ayrıca K2 belgesi yenilenirken muayenesi eksik olan araçlar belgeden otomatik olarak düşürüldüğü için, sistem vize öncesi tüm araçların muayenelerini çapraz sorgulamalıdır. Sistemde ayrıca, araç satışı vb. durumlarda filonun yasal asgari kapasite (tüzel kişiler için 50 ton) altına düşüp düşmediğini denetleyen bir tonaj sayacı bulunmalıdır [2].</w:t>
      </w:r>
    </w:p>
    <w:p w14:paraId="490C0F45" w14:textId="77777777" w:rsidR="004141B7" w:rsidRPr="004141B7" w:rsidRDefault="004141B7" w:rsidP="004141B7">
      <w:pPr>
        <w:numPr>
          <w:ilvl w:val="0"/>
          <w:numId w:val="1"/>
        </w:numPr>
      </w:pPr>
      <w:r w:rsidRPr="004141B7">
        <w:rPr>
          <w:b/>
          <w:bCs/>
        </w:rPr>
        <w:t>Dijital Takograf Veri İndirme ve Arşivleme:</w:t>
      </w:r>
      <w:r w:rsidRPr="004141B7">
        <w:t xml:space="preserve"> Sürücü kartındaki veriler en geç 28 günde bir, araç üzerindeki takograf ünitesindeki veriler ise en geç 90 günde bir sisteme indirilmelidir ``. İndirilen veriler yasal zorunluluk gereği 365 gün (1 yıl) boyunca sistemde güvenle arşivlenmelidir [3].</w:t>
      </w:r>
    </w:p>
    <w:p w14:paraId="6EB29F42" w14:textId="77777777" w:rsidR="004141B7" w:rsidRPr="004141B7" w:rsidRDefault="004141B7" w:rsidP="004141B7">
      <w:pPr>
        <w:numPr>
          <w:ilvl w:val="0"/>
          <w:numId w:val="1"/>
        </w:numPr>
      </w:pPr>
      <w:r w:rsidRPr="004141B7">
        <w:rPr>
          <w:b/>
          <w:bCs/>
        </w:rPr>
        <w:t>Takograf Kalibrasyon (Periyodik Kontrol) Takibi:</w:t>
      </w:r>
      <w:r w:rsidRPr="004141B7">
        <w:t xml:space="preserve"> Dijital takograf cihazlarının her 2 yılda bir yetkili servislerde kalibrasyon kontrolünün yapılması zorunludur [3]. Sisteme 2 yıllık periyotlar için bakım hatırlatıcısı eklenmelidir.</w:t>
      </w:r>
    </w:p>
    <w:p w14:paraId="559494F8" w14:textId="77777777" w:rsidR="004141B7" w:rsidRPr="004141B7" w:rsidRDefault="004141B7" w:rsidP="004141B7">
      <w:pPr>
        <w:numPr>
          <w:ilvl w:val="0"/>
          <w:numId w:val="1"/>
        </w:numPr>
      </w:pPr>
      <w:r w:rsidRPr="004141B7">
        <w:rPr>
          <w:b/>
          <w:bCs/>
        </w:rPr>
        <w:t>Sürücü SRC ve Psikoteknik Takibi:</w:t>
      </w:r>
      <w:r w:rsidRPr="004141B7">
        <w:t xml:space="preserve"> Şoförlerin psikoteknik değerlendirme raporlarının geçerlilik süresi 5 yıldır ve sistem bu sürenin bitimine 45 gün kala uyarı üretmelidir [4]. Sürücü yaşları için ise, mevcut geçici düzenleme kapsamında 31 Aralık 2026'ya kadar geçerli olan "69 yaşından gün almamış olma" kuralı sisteme entegre edilmelidir [5].</w:t>
      </w:r>
    </w:p>
    <w:p w14:paraId="4023E0CF" w14:textId="77777777" w:rsidR="004141B7" w:rsidRPr="004141B7" w:rsidRDefault="004141B7" w:rsidP="004141B7">
      <w:pPr>
        <w:numPr>
          <w:ilvl w:val="0"/>
          <w:numId w:val="1"/>
        </w:numPr>
      </w:pPr>
      <w:r w:rsidRPr="004141B7">
        <w:rPr>
          <w:b/>
          <w:bCs/>
        </w:rPr>
        <w:t>Egzoz Emisyon Ölçümü:</w:t>
      </w:r>
      <w:r w:rsidRPr="004141B7">
        <w:t xml:space="preserve"> Standart muayeneden ayrı olarak yüksek cezaları bulunan emisyon ölçümünün genellikle yıllık olarak yapılması gerekir ve sistemde ayrı bir bitiş tarihi hücresi olarak yer almalıdır [6].</w:t>
      </w:r>
    </w:p>
    <w:p w14:paraId="3B74428F" w14:textId="77777777" w:rsidR="004141B7" w:rsidRPr="004141B7" w:rsidRDefault="004141B7" w:rsidP="004141B7">
      <w:pPr>
        <w:numPr>
          <w:ilvl w:val="0"/>
          <w:numId w:val="1"/>
        </w:numPr>
      </w:pPr>
      <w:r w:rsidRPr="004141B7">
        <w:rPr>
          <w:b/>
          <w:bCs/>
        </w:rPr>
        <w:t>Araç İçi Güvenlik Ekipmanları Periyotları:</w:t>
      </w:r>
      <w:r w:rsidRPr="004141B7">
        <w:t xml:space="preserve"> Yangın söndürme tüpleri için sistemde aylık görsel kontrol, 1 yıllık bakım/dolum ve 5 yıllık hidrostatik test gibi farklı zamanlayıcılar kurulmalıdır [7]. İlk yardım çantalarındaki malzemelerin son kullanma tarihleri için aylık dijital kontrol listeleri (</w:t>
      </w:r>
      <w:proofErr w:type="spellStart"/>
      <w:r w:rsidRPr="004141B7">
        <w:t>check-list</w:t>
      </w:r>
      <w:proofErr w:type="spellEnd"/>
      <w:r w:rsidRPr="004141B7">
        <w:t>) eklenmelidir [8].</w:t>
      </w:r>
    </w:p>
    <w:p w14:paraId="762A4E39" w14:textId="77777777" w:rsidR="004141B7" w:rsidRPr="004141B7" w:rsidRDefault="004141B7" w:rsidP="004141B7">
      <w:pPr>
        <w:numPr>
          <w:ilvl w:val="0"/>
          <w:numId w:val="1"/>
        </w:numPr>
      </w:pPr>
      <w:r w:rsidRPr="004141B7">
        <w:rPr>
          <w:b/>
          <w:bCs/>
        </w:rPr>
        <w:t>U-ETDS Bildirimleri (Gerekiyorsa):</w:t>
      </w:r>
      <w:r w:rsidRPr="004141B7">
        <w:t xml:space="preserve"> Öz malınızı taşıyan K2 belgesi sahipleri, eğer taşıdıkları yük </w:t>
      </w:r>
      <w:r w:rsidRPr="004141B7">
        <w:rPr>
          <w:i/>
          <w:iCs/>
        </w:rPr>
        <w:t>tehlikeli madde</w:t>
      </w:r>
      <w:r w:rsidRPr="004141B7">
        <w:t xml:space="preserve"> sınıfına giriyorsa U-ETDS sistemine bildirim yapmak zorundadır [9]. Bu durumda araç yola çıktıktan sonra en geç 6 saat içinde veri iletilmesi için sisteme otomatik bir API bildirim modülü ve zaman sayacı eklenmelidir [10].</w:t>
      </w:r>
    </w:p>
    <w:p w14:paraId="15DB3F33" w14:textId="77777777" w:rsidR="000C2B17" w:rsidRDefault="000C2B17"/>
    <w:sectPr w:rsidR="000C2B17" w:rsidSect="003A5322">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60D1C"/>
    <w:multiLevelType w:val="multilevel"/>
    <w:tmpl w:val="5BD0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493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1B7"/>
    <w:rsid w:val="000044AA"/>
    <w:rsid w:val="000C2B17"/>
    <w:rsid w:val="003077A7"/>
    <w:rsid w:val="003A5322"/>
    <w:rsid w:val="003D1185"/>
    <w:rsid w:val="004141B7"/>
    <w:rsid w:val="004B10EB"/>
    <w:rsid w:val="00525819"/>
    <w:rsid w:val="006E26A2"/>
    <w:rsid w:val="00A07C95"/>
    <w:rsid w:val="00B922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0AC51"/>
  <w15:chartTrackingRefBased/>
  <w15:docId w15:val="{3C18829C-9EE0-4345-B36F-8DF53C027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14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14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141B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141B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141B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141B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141B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141B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141B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141B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141B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141B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141B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141B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141B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141B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141B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141B7"/>
    <w:rPr>
      <w:rFonts w:eastAsiaTheme="majorEastAsia" w:cstheme="majorBidi"/>
      <w:color w:val="272727" w:themeColor="text1" w:themeTint="D8"/>
    </w:rPr>
  </w:style>
  <w:style w:type="paragraph" w:styleId="KonuBal">
    <w:name w:val="Title"/>
    <w:basedOn w:val="Normal"/>
    <w:next w:val="Normal"/>
    <w:link w:val="KonuBalChar"/>
    <w:uiPriority w:val="10"/>
    <w:qFormat/>
    <w:rsid w:val="00414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141B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141B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141B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141B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141B7"/>
    <w:rPr>
      <w:i/>
      <w:iCs/>
      <w:color w:val="404040" w:themeColor="text1" w:themeTint="BF"/>
    </w:rPr>
  </w:style>
  <w:style w:type="paragraph" w:styleId="ListeParagraf">
    <w:name w:val="List Paragraph"/>
    <w:basedOn w:val="Normal"/>
    <w:uiPriority w:val="34"/>
    <w:qFormat/>
    <w:rsid w:val="004141B7"/>
    <w:pPr>
      <w:ind w:left="720"/>
      <w:contextualSpacing/>
    </w:pPr>
  </w:style>
  <w:style w:type="character" w:styleId="GlVurgulama">
    <w:name w:val="Intense Emphasis"/>
    <w:basedOn w:val="VarsaylanParagrafYazTipi"/>
    <w:uiPriority w:val="21"/>
    <w:qFormat/>
    <w:rsid w:val="004141B7"/>
    <w:rPr>
      <w:i/>
      <w:iCs/>
      <w:color w:val="0F4761" w:themeColor="accent1" w:themeShade="BF"/>
    </w:rPr>
  </w:style>
  <w:style w:type="paragraph" w:styleId="GlAlnt">
    <w:name w:val="Intense Quote"/>
    <w:basedOn w:val="Normal"/>
    <w:next w:val="Normal"/>
    <w:link w:val="GlAlntChar"/>
    <w:uiPriority w:val="30"/>
    <w:qFormat/>
    <w:rsid w:val="00414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141B7"/>
    <w:rPr>
      <w:i/>
      <w:iCs/>
      <w:color w:val="0F4761" w:themeColor="accent1" w:themeShade="BF"/>
    </w:rPr>
  </w:style>
  <w:style w:type="character" w:styleId="GlBavuru">
    <w:name w:val="Intense Reference"/>
    <w:basedOn w:val="VarsaylanParagrafYazTipi"/>
    <w:uiPriority w:val="32"/>
    <w:qFormat/>
    <w:rsid w:val="00414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355</Words>
  <Characters>2030</Characters>
  <Application>Microsoft Office Word</Application>
  <DocSecurity>0</DocSecurity>
  <Lines>16</Lines>
  <Paragraphs>4</Paragraphs>
  <ScaleCrop>false</ScaleCrop>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ilker AKEL</dc:creator>
  <cp:keywords/>
  <dc:description/>
  <cp:lastModifiedBy>ilker AKEL</cp:lastModifiedBy>
  <cp:revision>1</cp:revision>
  <dcterms:created xsi:type="dcterms:W3CDTF">2026-05-13T22:35:00Z</dcterms:created>
  <dcterms:modified xsi:type="dcterms:W3CDTF">2026-05-13T22:36:00Z</dcterms:modified>
</cp:coreProperties>
</file>