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BBD0F" w14:textId="002B710E" w:rsidR="00110174" w:rsidRDefault="058CBAD6" w:rsidP="35BCED57">
      <w:pPr>
        <w:pStyle w:val="Heading1"/>
        <w:spacing w:before="322" w:after="322"/>
        <w:jc w:val="center"/>
      </w:pPr>
      <w:r w:rsidRPr="35BCED57">
        <w:rPr>
          <w:rFonts w:ascii="Aptos" w:eastAsia="Aptos" w:hAnsi="Aptos" w:cs="Aptos"/>
          <w:b/>
          <w:bCs/>
          <w:color w:val="000000" w:themeColor="text1"/>
          <w:sz w:val="48"/>
          <w:szCs w:val="48"/>
        </w:rPr>
        <w:t>CONDITIONS GÉNÉRALES D’UTILISATION (CGU)</w:t>
      </w:r>
    </w:p>
    <w:p w14:paraId="79489DD3" w14:textId="68AF6256" w:rsidR="00110174" w:rsidRDefault="058CBAD6" w:rsidP="35BCED57">
      <w:pPr>
        <w:spacing w:before="240" w:after="240"/>
      </w:pPr>
      <w:r w:rsidRPr="35BCED57">
        <w:rPr>
          <w:rFonts w:ascii="Aptos" w:eastAsia="Aptos" w:hAnsi="Aptos" w:cs="Aptos"/>
          <w:b/>
          <w:bCs/>
          <w:color w:val="000000" w:themeColor="text1"/>
        </w:rPr>
        <w:t xml:space="preserve">Dernière mise à jour : </w:t>
      </w:r>
      <w:r w:rsidR="00041950">
        <w:rPr>
          <w:rFonts w:ascii="Aptos" w:eastAsia="Aptos" w:hAnsi="Aptos" w:cs="Aptos"/>
          <w:b/>
          <w:bCs/>
          <w:color w:val="000000" w:themeColor="text1"/>
        </w:rPr>
        <w:t>10/09/2025</w:t>
      </w:r>
    </w:p>
    <w:p w14:paraId="0E882515" w14:textId="4AD658C4" w:rsidR="00110174" w:rsidRDefault="058CBAD6" w:rsidP="35BCED57">
      <w:pPr>
        <w:pStyle w:val="Heading2"/>
        <w:spacing w:before="299" w:after="299"/>
        <w:jc w:val="center"/>
      </w:pPr>
      <w:r w:rsidRPr="35BCED57">
        <w:rPr>
          <w:rFonts w:ascii="Aptos" w:eastAsia="Aptos" w:hAnsi="Aptos" w:cs="Aptos"/>
          <w:b/>
          <w:bCs/>
          <w:color w:val="000000" w:themeColor="text1"/>
          <w:sz w:val="36"/>
          <w:szCs w:val="36"/>
        </w:rPr>
        <w:t>PRÉAMBULE</w:t>
      </w:r>
    </w:p>
    <w:p w14:paraId="57A3442C" w14:textId="71CE18E0" w:rsidR="00110174" w:rsidRDefault="058CBAD6" w:rsidP="35BCED57">
      <w:pPr>
        <w:spacing w:before="240" w:after="240"/>
      </w:pPr>
      <w:r w:rsidRPr="35BCED57">
        <w:rPr>
          <w:rFonts w:ascii="Aptos" w:eastAsia="Aptos" w:hAnsi="Aptos" w:cs="Aptos"/>
          <w:color w:val="000000" w:themeColor="text1"/>
        </w:rPr>
        <w:t xml:space="preserve">Les présentes Conditions Générales d’Utilisation (ci-après « CGU ») régissent l’accès et l’utilisation de l’application mobile </w:t>
      </w:r>
      <w:proofErr w:type="spellStart"/>
      <w:r w:rsidRPr="35BCED57">
        <w:rPr>
          <w:rFonts w:ascii="Aptos" w:eastAsia="Aptos" w:hAnsi="Aptos" w:cs="Aptos"/>
          <w:color w:val="000000" w:themeColor="text1"/>
        </w:rPr>
        <w:t>FielMedina</w:t>
      </w:r>
      <w:proofErr w:type="spellEnd"/>
      <w:r w:rsidRPr="35BCED57">
        <w:rPr>
          <w:rFonts w:ascii="Aptos" w:eastAsia="Aptos" w:hAnsi="Aptos" w:cs="Aptos"/>
          <w:color w:val="000000" w:themeColor="text1"/>
        </w:rPr>
        <w:t xml:space="preserve"> (Android/iOS) éditée par DACNIS (ci-après « l’Éditeur »). L’utilisation de l’Application implique l’acceptation pleine et entière des CGU.</w:t>
      </w:r>
    </w:p>
    <w:p w14:paraId="3D06298A" w14:textId="7316D2C4" w:rsidR="00110174" w:rsidRDefault="058CBAD6" w:rsidP="35BCED57">
      <w:pPr>
        <w:spacing w:before="240" w:after="240"/>
      </w:pPr>
      <w:r w:rsidRPr="35BCED57">
        <w:rPr>
          <w:rFonts w:ascii="Aptos" w:eastAsia="Aptos" w:hAnsi="Aptos" w:cs="Aptos"/>
          <w:b/>
          <w:bCs/>
          <w:color w:val="000000" w:themeColor="text1"/>
        </w:rPr>
        <w:t>Références légales principales (Tunisie) :</w:t>
      </w:r>
    </w:p>
    <w:p w14:paraId="6281528F" w14:textId="2D6EF17F" w:rsidR="00110174" w:rsidRDefault="058CBAD6" w:rsidP="35BCED57">
      <w:pPr>
        <w:pStyle w:val="ListParagraph"/>
        <w:numPr>
          <w:ilvl w:val="0"/>
          <w:numId w:val="4"/>
        </w:numPr>
        <w:spacing w:before="240" w:after="240"/>
        <w:rPr>
          <w:rFonts w:ascii="Aptos" w:eastAsia="Aptos" w:hAnsi="Aptos" w:cs="Aptos"/>
          <w:color w:val="000000" w:themeColor="text1"/>
        </w:rPr>
      </w:pPr>
      <w:r w:rsidRPr="35BCED57">
        <w:rPr>
          <w:rFonts w:ascii="Aptos" w:eastAsia="Aptos" w:hAnsi="Aptos" w:cs="Aptos"/>
          <w:color w:val="000000" w:themeColor="text1"/>
        </w:rPr>
        <w:t>Loi organique n°2004-63 du 27 juillet 2004 relative à la protection des données à caractère personnel et compétence de l’INPDP.</w:t>
      </w:r>
    </w:p>
    <w:p w14:paraId="298C7AC5" w14:textId="0B1D95FC" w:rsidR="00110174" w:rsidRDefault="058CBAD6" w:rsidP="35BCED57">
      <w:pPr>
        <w:pStyle w:val="ListParagraph"/>
        <w:numPr>
          <w:ilvl w:val="0"/>
          <w:numId w:val="4"/>
        </w:numPr>
        <w:spacing w:before="240" w:after="240"/>
        <w:rPr>
          <w:rFonts w:ascii="Aptos" w:eastAsia="Aptos" w:hAnsi="Aptos" w:cs="Aptos"/>
          <w:color w:val="000000" w:themeColor="text1"/>
        </w:rPr>
      </w:pPr>
      <w:r w:rsidRPr="35BCED57">
        <w:rPr>
          <w:rFonts w:ascii="Aptos" w:eastAsia="Aptos" w:hAnsi="Aptos" w:cs="Aptos"/>
          <w:color w:val="000000" w:themeColor="text1"/>
        </w:rPr>
        <w:t>Loi n°2000-83 du 9 août 2000 relative aux échanges et au commerce électroniques.</w:t>
      </w:r>
    </w:p>
    <w:p w14:paraId="7C159021" w14:textId="31E8A380" w:rsidR="00110174" w:rsidRDefault="058CBAD6" w:rsidP="35BCED57">
      <w:pPr>
        <w:pStyle w:val="ListParagraph"/>
        <w:numPr>
          <w:ilvl w:val="0"/>
          <w:numId w:val="4"/>
        </w:numPr>
        <w:spacing w:before="240" w:after="240"/>
        <w:rPr>
          <w:rFonts w:ascii="Aptos" w:eastAsia="Aptos" w:hAnsi="Aptos" w:cs="Aptos"/>
          <w:color w:val="000000" w:themeColor="text1"/>
        </w:rPr>
      </w:pPr>
      <w:r w:rsidRPr="35BCED57">
        <w:rPr>
          <w:rFonts w:ascii="Aptos" w:eastAsia="Aptos" w:hAnsi="Aptos" w:cs="Aptos"/>
          <w:color w:val="000000" w:themeColor="text1"/>
        </w:rPr>
        <w:t xml:space="preserve">Loi n°2000-57 du 13 juin 2000 relative à la signature et au document </w:t>
      </w:r>
      <w:proofErr w:type="gramStart"/>
      <w:r w:rsidRPr="35BCED57">
        <w:rPr>
          <w:rFonts w:ascii="Aptos" w:eastAsia="Aptos" w:hAnsi="Aptos" w:cs="Aptos"/>
          <w:color w:val="000000" w:themeColor="text1"/>
        </w:rPr>
        <w:t>électroniques</w:t>
      </w:r>
      <w:proofErr w:type="gramEnd"/>
      <w:r w:rsidRPr="35BCED57">
        <w:rPr>
          <w:rFonts w:ascii="Aptos" w:eastAsia="Aptos" w:hAnsi="Aptos" w:cs="Aptos"/>
          <w:color w:val="000000" w:themeColor="text1"/>
        </w:rPr>
        <w:t>.</w:t>
      </w:r>
    </w:p>
    <w:p w14:paraId="29182ECA" w14:textId="445DE59A" w:rsidR="00110174" w:rsidRDefault="058CBAD6" w:rsidP="35BCED57">
      <w:pPr>
        <w:pStyle w:val="ListParagraph"/>
        <w:numPr>
          <w:ilvl w:val="0"/>
          <w:numId w:val="4"/>
        </w:numPr>
        <w:spacing w:before="240" w:after="240"/>
        <w:rPr>
          <w:rFonts w:ascii="Aptos" w:eastAsia="Aptos" w:hAnsi="Aptos" w:cs="Aptos"/>
          <w:color w:val="000000" w:themeColor="text1"/>
        </w:rPr>
      </w:pPr>
      <w:r w:rsidRPr="35BCED57">
        <w:rPr>
          <w:rFonts w:ascii="Aptos" w:eastAsia="Aptos" w:hAnsi="Aptos" w:cs="Aptos"/>
          <w:color w:val="000000" w:themeColor="text1"/>
        </w:rPr>
        <w:t>Loi n°92-117 du 7 décembre 1992 relative à la protection du consommateur.</w:t>
      </w:r>
    </w:p>
    <w:p w14:paraId="04EB6B25" w14:textId="4E077307" w:rsidR="00110174" w:rsidRDefault="058CBAD6" w:rsidP="35BCED57">
      <w:pPr>
        <w:pStyle w:val="ListParagraph"/>
        <w:numPr>
          <w:ilvl w:val="0"/>
          <w:numId w:val="4"/>
        </w:numPr>
        <w:spacing w:before="240" w:after="240"/>
        <w:rPr>
          <w:rFonts w:ascii="Aptos" w:eastAsia="Aptos" w:hAnsi="Aptos" w:cs="Aptos"/>
          <w:color w:val="000000" w:themeColor="text1"/>
        </w:rPr>
      </w:pPr>
      <w:r w:rsidRPr="35BCED57">
        <w:rPr>
          <w:rFonts w:ascii="Aptos" w:eastAsia="Aptos" w:hAnsi="Aptos" w:cs="Aptos"/>
          <w:color w:val="000000" w:themeColor="text1"/>
        </w:rPr>
        <w:t>Code des obligations et des contrats (C.O.C.) et autres textes applicables.</w:t>
      </w:r>
    </w:p>
    <w:p w14:paraId="502BC50B" w14:textId="71739933" w:rsidR="00110174" w:rsidRDefault="058CBAD6" w:rsidP="35BCED57">
      <w:pPr>
        <w:spacing w:before="240" w:after="240"/>
      </w:pPr>
      <w:r w:rsidRPr="35BCED57">
        <w:rPr>
          <w:rFonts w:ascii="Aptos" w:eastAsia="Aptos" w:hAnsi="Aptos" w:cs="Aptos"/>
          <w:b/>
          <w:bCs/>
          <w:color w:val="000000" w:themeColor="text1"/>
        </w:rPr>
        <w:t>Nota :</w:t>
      </w:r>
      <w:r w:rsidRPr="35BCED57">
        <w:rPr>
          <w:rFonts w:ascii="Aptos" w:eastAsia="Aptos" w:hAnsi="Aptos" w:cs="Aptos"/>
          <w:color w:val="000000" w:themeColor="text1"/>
        </w:rPr>
        <w:t xml:space="preserve"> Les conditions financières et commerciales sont exclues des CGU et font l’objet de contrats séparés.</w:t>
      </w:r>
    </w:p>
    <w:p w14:paraId="4B0C7019" w14:textId="4003E102" w:rsidR="00110174" w:rsidRDefault="288C5DD6" w:rsidP="35BCED57">
      <w:pPr>
        <w:pStyle w:val="Heading2"/>
        <w:spacing w:before="299" w:after="299"/>
      </w:pPr>
      <w:r w:rsidRPr="35BCED57">
        <w:rPr>
          <w:rFonts w:ascii="Aptos" w:eastAsia="Aptos" w:hAnsi="Aptos" w:cs="Aptos"/>
          <w:b/>
          <w:bCs/>
          <w:color w:val="000000" w:themeColor="text1"/>
          <w:sz w:val="36"/>
          <w:szCs w:val="36"/>
        </w:rPr>
        <w:t>Article 1 — Définitions</w:t>
      </w:r>
    </w:p>
    <w:p w14:paraId="7DF579B6" w14:textId="1DB74905" w:rsidR="00110174" w:rsidRDefault="288C5DD6" w:rsidP="35BCED57">
      <w:pPr>
        <w:spacing w:before="240" w:after="240"/>
      </w:pPr>
      <w:r w:rsidRPr="35BCED57">
        <w:rPr>
          <w:rFonts w:ascii="Aptos" w:eastAsia="Aptos" w:hAnsi="Aptos" w:cs="Aptos"/>
          <w:color w:val="000000" w:themeColor="text1"/>
        </w:rPr>
        <w:t>Dans le cadre des présentes CGU, les termes suivants sont définis comme suit :</w:t>
      </w:r>
    </w:p>
    <w:p w14:paraId="237D6526" w14:textId="31E1FF47" w:rsidR="00110174" w:rsidRDefault="288C5DD6" w:rsidP="35BCED57">
      <w:pPr>
        <w:pStyle w:val="ListParagraph"/>
        <w:numPr>
          <w:ilvl w:val="0"/>
          <w:numId w:val="2"/>
        </w:numPr>
        <w:spacing w:before="240" w:after="240"/>
        <w:rPr>
          <w:rFonts w:ascii="Aptos" w:eastAsia="Aptos" w:hAnsi="Aptos" w:cs="Aptos"/>
          <w:color w:val="000000" w:themeColor="text1"/>
        </w:rPr>
      </w:pPr>
      <w:r w:rsidRPr="35BCED57">
        <w:rPr>
          <w:rFonts w:ascii="Aptos" w:eastAsia="Aptos" w:hAnsi="Aptos" w:cs="Aptos"/>
          <w:b/>
          <w:bCs/>
          <w:color w:val="000000" w:themeColor="text1"/>
        </w:rPr>
        <w:t>Application</w:t>
      </w:r>
      <w:r w:rsidRPr="35BCED57">
        <w:rPr>
          <w:rFonts w:ascii="Aptos" w:eastAsia="Aptos" w:hAnsi="Aptos" w:cs="Aptos"/>
          <w:color w:val="000000" w:themeColor="text1"/>
        </w:rPr>
        <w:t xml:space="preserve"> : le logiciel mobile </w:t>
      </w:r>
      <w:proofErr w:type="spellStart"/>
      <w:r w:rsidRPr="35BCED57">
        <w:rPr>
          <w:rFonts w:ascii="Aptos" w:eastAsia="Aptos" w:hAnsi="Aptos" w:cs="Aptos"/>
          <w:color w:val="000000" w:themeColor="text1"/>
        </w:rPr>
        <w:t>FielMedina</w:t>
      </w:r>
      <w:proofErr w:type="spellEnd"/>
      <w:r w:rsidRPr="35BCED57">
        <w:rPr>
          <w:rFonts w:ascii="Aptos" w:eastAsia="Aptos" w:hAnsi="Aptos" w:cs="Aptos"/>
          <w:color w:val="000000" w:themeColor="text1"/>
        </w:rPr>
        <w:t>, ses fonctionnalités, interfaces et contenus associés.</w:t>
      </w:r>
    </w:p>
    <w:p w14:paraId="7A726B31" w14:textId="5F8F4A31" w:rsidR="00110174" w:rsidRDefault="288C5DD6" w:rsidP="35BCED57">
      <w:pPr>
        <w:pStyle w:val="ListParagraph"/>
        <w:numPr>
          <w:ilvl w:val="0"/>
          <w:numId w:val="2"/>
        </w:numPr>
        <w:spacing w:before="240" w:after="240"/>
        <w:rPr>
          <w:rFonts w:ascii="Aptos" w:eastAsia="Aptos" w:hAnsi="Aptos" w:cs="Aptos"/>
          <w:color w:val="000000" w:themeColor="text1"/>
        </w:rPr>
      </w:pPr>
      <w:r w:rsidRPr="35BCED57">
        <w:rPr>
          <w:rFonts w:ascii="Aptos" w:eastAsia="Aptos" w:hAnsi="Aptos" w:cs="Aptos"/>
          <w:b/>
          <w:bCs/>
          <w:color w:val="000000" w:themeColor="text1"/>
        </w:rPr>
        <w:t>Utilisateur</w:t>
      </w:r>
      <w:r w:rsidRPr="35BCED57">
        <w:rPr>
          <w:rFonts w:ascii="Aptos" w:eastAsia="Aptos" w:hAnsi="Aptos" w:cs="Aptos"/>
          <w:color w:val="000000" w:themeColor="text1"/>
        </w:rPr>
        <w:t xml:space="preserve"> : toute personne physique accédant ou utilisant l’Application.</w:t>
      </w:r>
    </w:p>
    <w:p w14:paraId="25EE05CC" w14:textId="33C56490" w:rsidR="00110174" w:rsidRDefault="288C5DD6" w:rsidP="35BCED57">
      <w:pPr>
        <w:pStyle w:val="ListParagraph"/>
        <w:numPr>
          <w:ilvl w:val="0"/>
          <w:numId w:val="2"/>
        </w:numPr>
        <w:spacing w:before="240" w:after="240"/>
        <w:rPr>
          <w:rFonts w:ascii="Aptos" w:eastAsia="Aptos" w:hAnsi="Aptos" w:cs="Aptos"/>
          <w:color w:val="000000" w:themeColor="text1"/>
        </w:rPr>
      </w:pPr>
      <w:r w:rsidRPr="35BCED57">
        <w:rPr>
          <w:rFonts w:ascii="Aptos" w:eastAsia="Aptos" w:hAnsi="Aptos" w:cs="Aptos"/>
          <w:b/>
          <w:bCs/>
          <w:color w:val="000000" w:themeColor="text1"/>
        </w:rPr>
        <w:t>Compte</w:t>
      </w:r>
      <w:r w:rsidRPr="35BCED57">
        <w:rPr>
          <w:rFonts w:ascii="Aptos" w:eastAsia="Aptos" w:hAnsi="Aptos" w:cs="Aptos"/>
          <w:color w:val="000000" w:themeColor="text1"/>
        </w:rPr>
        <w:t xml:space="preserve"> : espace personnel permettant l’accès à certaines fonctionnalités avancées.</w:t>
      </w:r>
    </w:p>
    <w:p w14:paraId="273AEF6B" w14:textId="46FD30BF" w:rsidR="00110174" w:rsidRDefault="288C5DD6" w:rsidP="35BCED57">
      <w:pPr>
        <w:pStyle w:val="ListParagraph"/>
        <w:numPr>
          <w:ilvl w:val="0"/>
          <w:numId w:val="2"/>
        </w:numPr>
        <w:spacing w:before="240" w:after="240"/>
        <w:rPr>
          <w:rFonts w:ascii="Aptos" w:eastAsia="Aptos" w:hAnsi="Aptos" w:cs="Aptos"/>
          <w:color w:val="000000" w:themeColor="text1"/>
        </w:rPr>
      </w:pPr>
      <w:r w:rsidRPr="35BCED57">
        <w:rPr>
          <w:rFonts w:ascii="Aptos" w:eastAsia="Aptos" w:hAnsi="Aptos" w:cs="Aptos"/>
          <w:b/>
          <w:bCs/>
          <w:color w:val="000000" w:themeColor="text1"/>
        </w:rPr>
        <w:t>Services</w:t>
      </w:r>
      <w:r w:rsidRPr="35BCED57">
        <w:rPr>
          <w:rFonts w:ascii="Aptos" w:eastAsia="Aptos" w:hAnsi="Aptos" w:cs="Aptos"/>
          <w:color w:val="000000" w:themeColor="text1"/>
        </w:rPr>
        <w:t xml:space="preserve"> : toutes les fonctionnalités proposées par l’Application, y compris guidage, contenus culturels, réalité augmentée (AR), cartes hors-ligne et notifications.</w:t>
      </w:r>
    </w:p>
    <w:p w14:paraId="369E9B16" w14:textId="15090AF7" w:rsidR="00110174" w:rsidRDefault="288C5DD6" w:rsidP="35BCED57">
      <w:pPr>
        <w:pStyle w:val="ListParagraph"/>
        <w:numPr>
          <w:ilvl w:val="0"/>
          <w:numId w:val="2"/>
        </w:numPr>
        <w:spacing w:before="240" w:after="240"/>
        <w:rPr>
          <w:rFonts w:ascii="Aptos" w:eastAsia="Aptos" w:hAnsi="Aptos" w:cs="Aptos"/>
          <w:color w:val="000000" w:themeColor="text1"/>
        </w:rPr>
      </w:pPr>
      <w:r w:rsidRPr="35BCED57">
        <w:rPr>
          <w:rFonts w:ascii="Aptos" w:eastAsia="Aptos" w:hAnsi="Aptos" w:cs="Aptos"/>
          <w:b/>
          <w:bCs/>
          <w:color w:val="000000" w:themeColor="text1"/>
        </w:rPr>
        <w:lastRenderedPageBreak/>
        <w:t>Contenus</w:t>
      </w:r>
      <w:r w:rsidRPr="35BCED57">
        <w:rPr>
          <w:rFonts w:ascii="Aptos" w:eastAsia="Aptos" w:hAnsi="Aptos" w:cs="Aptos"/>
          <w:color w:val="000000" w:themeColor="text1"/>
        </w:rPr>
        <w:t xml:space="preserve"> : textes, sons, images, vidéos, données de navigation, éléments AR et autres informations diffusées via l’Application.</w:t>
      </w:r>
    </w:p>
    <w:p w14:paraId="26C99C12" w14:textId="3B5A1FC8" w:rsidR="00110174" w:rsidRDefault="288C5DD6" w:rsidP="35BCED57">
      <w:pPr>
        <w:pStyle w:val="ListParagraph"/>
        <w:numPr>
          <w:ilvl w:val="0"/>
          <w:numId w:val="2"/>
        </w:numPr>
        <w:spacing w:before="240" w:after="240"/>
        <w:rPr>
          <w:rFonts w:ascii="Aptos" w:eastAsia="Aptos" w:hAnsi="Aptos" w:cs="Aptos"/>
          <w:color w:val="000000" w:themeColor="text1"/>
        </w:rPr>
      </w:pPr>
      <w:r w:rsidRPr="35BCED57">
        <w:rPr>
          <w:rFonts w:ascii="Aptos" w:eastAsia="Aptos" w:hAnsi="Aptos" w:cs="Aptos"/>
          <w:b/>
          <w:bCs/>
          <w:color w:val="000000" w:themeColor="text1"/>
        </w:rPr>
        <w:t>Partenaires</w:t>
      </w:r>
      <w:r w:rsidRPr="35BCED57">
        <w:rPr>
          <w:rFonts w:ascii="Aptos" w:eastAsia="Aptos" w:hAnsi="Aptos" w:cs="Aptos"/>
          <w:color w:val="000000" w:themeColor="text1"/>
        </w:rPr>
        <w:t xml:space="preserve"> : professionnels tiers (restaurants, hôtels, artisans, marques, institutions) diffusant des contenus et annonces.</w:t>
      </w:r>
    </w:p>
    <w:p w14:paraId="50ADBB4B" w14:textId="3A2C074B" w:rsidR="00110174" w:rsidRDefault="288C5DD6" w:rsidP="35BCED57">
      <w:pPr>
        <w:pStyle w:val="ListParagraph"/>
        <w:numPr>
          <w:ilvl w:val="0"/>
          <w:numId w:val="2"/>
        </w:numPr>
        <w:spacing w:before="240" w:after="240"/>
        <w:rPr>
          <w:rFonts w:ascii="Aptos" w:eastAsia="Aptos" w:hAnsi="Aptos" w:cs="Aptos"/>
          <w:color w:val="000000" w:themeColor="text1"/>
        </w:rPr>
      </w:pPr>
      <w:r w:rsidRPr="35BCED57">
        <w:rPr>
          <w:rFonts w:ascii="Aptos" w:eastAsia="Aptos" w:hAnsi="Aptos" w:cs="Aptos"/>
          <w:b/>
          <w:bCs/>
          <w:color w:val="000000" w:themeColor="text1"/>
        </w:rPr>
        <w:t>UGC</w:t>
      </w:r>
      <w:r w:rsidRPr="35BCED57">
        <w:rPr>
          <w:rFonts w:ascii="Aptos" w:eastAsia="Aptos" w:hAnsi="Aptos" w:cs="Aptos"/>
          <w:color w:val="000000" w:themeColor="text1"/>
        </w:rPr>
        <w:t xml:space="preserve"> : contenus générés par les Utilisateurs ou Partenaires.</w:t>
      </w:r>
    </w:p>
    <w:p w14:paraId="27496CDD" w14:textId="39492438" w:rsidR="00110174" w:rsidRDefault="288C5DD6" w:rsidP="35BCED57">
      <w:pPr>
        <w:pStyle w:val="Heading2"/>
        <w:spacing w:before="299" w:after="299"/>
      </w:pPr>
      <w:r w:rsidRPr="35BCED57">
        <w:rPr>
          <w:rFonts w:ascii="Aptos" w:eastAsia="Aptos" w:hAnsi="Aptos" w:cs="Aptos"/>
          <w:b/>
          <w:bCs/>
          <w:color w:val="000000" w:themeColor="text1"/>
          <w:sz w:val="36"/>
          <w:szCs w:val="36"/>
        </w:rPr>
        <w:t>Article 2 — Objet et champ d’application</w:t>
      </w:r>
    </w:p>
    <w:p w14:paraId="1928A0DA" w14:textId="14B08B22" w:rsidR="00110174" w:rsidRDefault="288C5DD6" w:rsidP="35BCED57">
      <w:pPr>
        <w:spacing w:before="240" w:after="240"/>
      </w:pPr>
      <w:r w:rsidRPr="35BCED57">
        <w:rPr>
          <w:rFonts w:ascii="Aptos" w:eastAsia="Aptos" w:hAnsi="Aptos" w:cs="Aptos"/>
          <w:color w:val="000000" w:themeColor="text1"/>
        </w:rPr>
        <w:t>Les CGU définissent les droits et obligations relatifs :</w:t>
      </w:r>
    </w:p>
    <w:p w14:paraId="3631DCC2" w14:textId="7B152107" w:rsidR="00110174" w:rsidRDefault="288C5DD6" w:rsidP="35BCED57">
      <w:pPr>
        <w:pStyle w:val="ListParagraph"/>
        <w:numPr>
          <w:ilvl w:val="0"/>
          <w:numId w:val="1"/>
        </w:numPr>
        <w:spacing w:before="240" w:after="240"/>
        <w:rPr>
          <w:rFonts w:ascii="Aptos" w:eastAsia="Aptos" w:hAnsi="Aptos" w:cs="Aptos"/>
          <w:color w:val="000000" w:themeColor="text1"/>
        </w:rPr>
      </w:pPr>
      <w:proofErr w:type="gramStart"/>
      <w:r w:rsidRPr="35BCED57">
        <w:rPr>
          <w:rFonts w:ascii="Aptos" w:eastAsia="Aptos" w:hAnsi="Aptos" w:cs="Aptos"/>
          <w:color w:val="000000" w:themeColor="text1"/>
        </w:rPr>
        <w:t>à</w:t>
      </w:r>
      <w:proofErr w:type="gramEnd"/>
      <w:r w:rsidRPr="35BCED57">
        <w:rPr>
          <w:rFonts w:ascii="Aptos" w:eastAsia="Aptos" w:hAnsi="Aptos" w:cs="Aptos"/>
          <w:color w:val="000000" w:themeColor="text1"/>
        </w:rPr>
        <w:t xml:space="preserve"> l’accès et à l’utilisation des Services ;</w:t>
      </w:r>
    </w:p>
    <w:p w14:paraId="22DBF2CE" w14:textId="5C9942A9" w:rsidR="00110174" w:rsidRDefault="288C5DD6" w:rsidP="35BCED57">
      <w:pPr>
        <w:pStyle w:val="ListParagraph"/>
        <w:numPr>
          <w:ilvl w:val="0"/>
          <w:numId w:val="1"/>
        </w:numPr>
        <w:spacing w:before="240" w:after="240"/>
        <w:rPr>
          <w:rFonts w:ascii="Aptos" w:eastAsia="Aptos" w:hAnsi="Aptos" w:cs="Aptos"/>
          <w:color w:val="000000" w:themeColor="text1"/>
        </w:rPr>
      </w:pPr>
      <w:proofErr w:type="gramStart"/>
      <w:r w:rsidRPr="35BCED57">
        <w:rPr>
          <w:rFonts w:ascii="Aptos" w:eastAsia="Aptos" w:hAnsi="Aptos" w:cs="Aptos"/>
          <w:color w:val="000000" w:themeColor="text1"/>
        </w:rPr>
        <w:t>aux</w:t>
      </w:r>
      <w:proofErr w:type="gramEnd"/>
      <w:r w:rsidRPr="35BCED57">
        <w:rPr>
          <w:rFonts w:ascii="Aptos" w:eastAsia="Aptos" w:hAnsi="Aptos" w:cs="Aptos"/>
          <w:color w:val="000000" w:themeColor="text1"/>
        </w:rPr>
        <w:t xml:space="preserve"> règles de conduite et comportement de l’Utilisateur ;</w:t>
      </w:r>
    </w:p>
    <w:p w14:paraId="3F7EC545" w14:textId="299BB542" w:rsidR="00110174" w:rsidRDefault="288C5DD6" w:rsidP="35BCED57">
      <w:pPr>
        <w:pStyle w:val="ListParagraph"/>
        <w:numPr>
          <w:ilvl w:val="0"/>
          <w:numId w:val="1"/>
        </w:numPr>
        <w:spacing w:before="240" w:after="240"/>
        <w:rPr>
          <w:rFonts w:ascii="Aptos" w:eastAsia="Aptos" w:hAnsi="Aptos" w:cs="Aptos"/>
          <w:color w:val="000000" w:themeColor="text1"/>
        </w:rPr>
      </w:pPr>
      <w:proofErr w:type="gramStart"/>
      <w:r w:rsidRPr="35BCED57">
        <w:rPr>
          <w:rFonts w:ascii="Aptos" w:eastAsia="Aptos" w:hAnsi="Aptos" w:cs="Aptos"/>
          <w:color w:val="000000" w:themeColor="text1"/>
        </w:rPr>
        <w:t>aux</w:t>
      </w:r>
      <w:proofErr w:type="gramEnd"/>
      <w:r w:rsidRPr="35BCED57">
        <w:rPr>
          <w:rFonts w:ascii="Aptos" w:eastAsia="Aptos" w:hAnsi="Aptos" w:cs="Aptos"/>
          <w:color w:val="000000" w:themeColor="text1"/>
        </w:rPr>
        <w:t xml:space="preserve"> droits de propriété intellectuelle ;</w:t>
      </w:r>
    </w:p>
    <w:p w14:paraId="7D7CF6D3" w14:textId="7E1DEF3A" w:rsidR="00110174" w:rsidRDefault="288C5DD6" w:rsidP="35BCED57">
      <w:pPr>
        <w:pStyle w:val="ListParagraph"/>
        <w:numPr>
          <w:ilvl w:val="0"/>
          <w:numId w:val="1"/>
        </w:numPr>
        <w:spacing w:before="240" w:after="240"/>
        <w:rPr>
          <w:rFonts w:ascii="Aptos" w:eastAsia="Aptos" w:hAnsi="Aptos" w:cs="Aptos"/>
          <w:color w:val="000000" w:themeColor="text1"/>
        </w:rPr>
      </w:pPr>
      <w:proofErr w:type="gramStart"/>
      <w:r w:rsidRPr="35BCED57">
        <w:rPr>
          <w:rFonts w:ascii="Aptos" w:eastAsia="Aptos" w:hAnsi="Aptos" w:cs="Aptos"/>
          <w:color w:val="000000" w:themeColor="text1"/>
        </w:rPr>
        <w:t>aux</w:t>
      </w:r>
      <w:proofErr w:type="gramEnd"/>
      <w:r w:rsidRPr="35BCED57">
        <w:rPr>
          <w:rFonts w:ascii="Aptos" w:eastAsia="Aptos" w:hAnsi="Aptos" w:cs="Aptos"/>
          <w:color w:val="000000" w:themeColor="text1"/>
        </w:rPr>
        <w:t xml:space="preserve"> limitations de responsabilité ;</w:t>
      </w:r>
    </w:p>
    <w:p w14:paraId="457CB1C7" w14:textId="73B63983" w:rsidR="00110174" w:rsidRDefault="288C5DD6" w:rsidP="35BCED57">
      <w:pPr>
        <w:pStyle w:val="ListParagraph"/>
        <w:numPr>
          <w:ilvl w:val="0"/>
          <w:numId w:val="1"/>
        </w:numPr>
        <w:spacing w:before="240" w:after="240"/>
        <w:rPr>
          <w:rFonts w:ascii="Aptos" w:eastAsia="Aptos" w:hAnsi="Aptos" w:cs="Aptos"/>
          <w:color w:val="000000" w:themeColor="text1"/>
        </w:rPr>
      </w:pPr>
      <w:proofErr w:type="gramStart"/>
      <w:r w:rsidRPr="35BCED57">
        <w:rPr>
          <w:rFonts w:ascii="Aptos" w:eastAsia="Aptos" w:hAnsi="Aptos" w:cs="Aptos"/>
          <w:color w:val="000000" w:themeColor="text1"/>
        </w:rPr>
        <w:t>aux</w:t>
      </w:r>
      <w:proofErr w:type="gramEnd"/>
      <w:r w:rsidRPr="35BCED57">
        <w:rPr>
          <w:rFonts w:ascii="Aptos" w:eastAsia="Aptos" w:hAnsi="Aptos" w:cs="Aptos"/>
          <w:color w:val="000000" w:themeColor="text1"/>
        </w:rPr>
        <w:t xml:space="preserve"> modalités de modification, suspension ou interruption des Services ;</w:t>
      </w:r>
    </w:p>
    <w:p w14:paraId="09824707" w14:textId="69BD7B70" w:rsidR="00110174" w:rsidRDefault="288C5DD6" w:rsidP="35BCED57">
      <w:pPr>
        <w:pStyle w:val="ListParagraph"/>
        <w:numPr>
          <w:ilvl w:val="0"/>
          <w:numId w:val="1"/>
        </w:numPr>
        <w:spacing w:before="240" w:after="240"/>
        <w:rPr>
          <w:rFonts w:ascii="Aptos" w:eastAsia="Aptos" w:hAnsi="Aptos" w:cs="Aptos"/>
          <w:color w:val="000000" w:themeColor="text1"/>
        </w:rPr>
      </w:pPr>
      <w:proofErr w:type="gramStart"/>
      <w:r w:rsidRPr="35BCED57">
        <w:rPr>
          <w:rFonts w:ascii="Aptos" w:eastAsia="Aptos" w:hAnsi="Aptos" w:cs="Aptos"/>
          <w:color w:val="000000" w:themeColor="text1"/>
        </w:rPr>
        <w:t>aux</w:t>
      </w:r>
      <w:proofErr w:type="gramEnd"/>
      <w:r w:rsidRPr="35BCED57">
        <w:rPr>
          <w:rFonts w:ascii="Aptos" w:eastAsia="Aptos" w:hAnsi="Aptos" w:cs="Aptos"/>
          <w:color w:val="000000" w:themeColor="text1"/>
        </w:rPr>
        <w:t xml:space="preserve"> communications et preuves électroniques.</w:t>
      </w:r>
    </w:p>
    <w:p w14:paraId="5AF5C62C" w14:textId="6395886C" w:rsidR="00110174" w:rsidRDefault="288C5DD6" w:rsidP="35BCED57">
      <w:pPr>
        <w:pStyle w:val="Heading2"/>
        <w:spacing w:before="299" w:after="299"/>
      </w:pPr>
      <w:r w:rsidRPr="35BCED57">
        <w:rPr>
          <w:rFonts w:ascii="Aptos" w:eastAsia="Aptos" w:hAnsi="Aptos" w:cs="Aptos"/>
          <w:b/>
          <w:bCs/>
          <w:color w:val="000000" w:themeColor="text1"/>
          <w:sz w:val="36"/>
          <w:szCs w:val="36"/>
        </w:rPr>
        <w:t>Article 3 — Accès aux Services</w:t>
      </w:r>
    </w:p>
    <w:p w14:paraId="7D9A3F6E" w14:textId="67FEE2B7" w:rsidR="00110174" w:rsidRDefault="288C5DD6" w:rsidP="35BCED57">
      <w:pPr>
        <w:spacing w:before="240" w:after="240"/>
      </w:pPr>
      <w:r w:rsidRPr="35BCED57">
        <w:rPr>
          <w:rFonts w:ascii="Aptos" w:eastAsia="Aptos" w:hAnsi="Aptos" w:cs="Aptos"/>
          <w:color w:val="000000" w:themeColor="text1"/>
        </w:rPr>
        <w:t>L’Application est disponible sur Android et iOS. Certaines fonctionnalités requièrent la création d’un Compte ou un achat in-app. L’Utilisateur est responsable de la compatibilité de son matériel et logiciel. L’Éditeur peut suspendre temporairement les Services pour maintenance ou mise à jour.</w:t>
      </w:r>
    </w:p>
    <w:p w14:paraId="34625C77" w14:textId="5BB26E71" w:rsidR="00110174" w:rsidRDefault="288C5DD6" w:rsidP="35BCED57">
      <w:pPr>
        <w:pStyle w:val="Heading2"/>
        <w:spacing w:before="299" w:after="299"/>
      </w:pPr>
      <w:r w:rsidRPr="35BCED57">
        <w:rPr>
          <w:rFonts w:ascii="Aptos" w:eastAsia="Aptos" w:hAnsi="Aptos" w:cs="Aptos"/>
          <w:b/>
          <w:bCs/>
          <w:color w:val="000000" w:themeColor="text1"/>
          <w:sz w:val="36"/>
          <w:szCs w:val="36"/>
        </w:rPr>
        <w:t>Article 4 — Compte et sécurité</w:t>
      </w:r>
    </w:p>
    <w:p w14:paraId="06EC4DE1" w14:textId="74A5143F" w:rsidR="00110174" w:rsidRDefault="288C5DD6" w:rsidP="35BCED57">
      <w:pPr>
        <w:spacing w:before="240" w:after="240"/>
      </w:pPr>
      <w:r w:rsidRPr="35BCED57">
        <w:rPr>
          <w:rFonts w:ascii="Aptos" w:eastAsia="Aptos" w:hAnsi="Aptos" w:cs="Aptos"/>
          <w:color w:val="000000" w:themeColor="text1"/>
        </w:rPr>
        <w:t>L’Utilisateur doit fournir des informations exactes et à jour. Les identifiants sont strictement personnels et intransmissibles. Toute action réalisée via le Compte est présumée effectuée par l’Utilisateur. Toute compromission doit être signalée immédiatement.</w:t>
      </w:r>
    </w:p>
    <w:p w14:paraId="1B09BD32" w14:textId="629A160B" w:rsidR="00110174" w:rsidRDefault="288C5DD6" w:rsidP="35BCED57">
      <w:pPr>
        <w:pStyle w:val="Heading2"/>
        <w:spacing w:before="299" w:after="299"/>
      </w:pPr>
      <w:r w:rsidRPr="35BCED57">
        <w:rPr>
          <w:rFonts w:ascii="Aptos" w:eastAsia="Aptos" w:hAnsi="Aptos" w:cs="Aptos"/>
          <w:b/>
          <w:bCs/>
          <w:color w:val="000000" w:themeColor="text1"/>
          <w:sz w:val="36"/>
          <w:szCs w:val="36"/>
        </w:rPr>
        <w:t>Article 5 — Services de géolocalisation et réalité augmentée (AR)</w:t>
      </w:r>
    </w:p>
    <w:p w14:paraId="2AE3CB97" w14:textId="4BE8DED6" w:rsidR="00110174" w:rsidRDefault="288C5DD6" w:rsidP="35BCED57">
      <w:pPr>
        <w:spacing w:before="240" w:after="240"/>
      </w:pPr>
      <w:r w:rsidRPr="35BCED57">
        <w:rPr>
          <w:rFonts w:ascii="Aptos" w:eastAsia="Aptos" w:hAnsi="Aptos" w:cs="Aptos"/>
          <w:color w:val="000000" w:themeColor="text1"/>
        </w:rPr>
        <w:t>L’activation de la géolocalisation et des fonctionnalités AR est nécessaire pour certains Services. L’Utilisateur consent à l’usage de ces capteurs. L’Éditeur ne garantit pas la précision continue du GPS et décline toute responsabilité liée à la sécurité personnelle ou aux décisions basées sur les informations géolocalisées. Les contenus AR ne doivent pas être utilisés dans des situations présentant un danger.</w:t>
      </w:r>
    </w:p>
    <w:p w14:paraId="6BD5531F" w14:textId="6DFB26F4" w:rsidR="00110174" w:rsidRDefault="288C5DD6" w:rsidP="35BCED57">
      <w:pPr>
        <w:pStyle w:val="Heading2"/>
        <w:spacing w:before="299" w:after="299"/>
      </w:pPr>
      <w:r w:rsidRPr="35BCED57">
        <w:rPr>
          <w:rFonts w:ascii="Aptos" w:eastAsia="Aptos" w:hAnsi="Aptos" w:cs="Aptos"/>
          <w:b/>
          <w:bCs/>
          <w:color w:val="000000" w:themeColor="text1"/>
          <w:sz w:val="36"/>
          <w:szCs w:val="36"/>
        </w:rPr>
        <w:lastRenderedPageBreak/>
        <w:t>Article 6 — Fonctionnalités hors-ligne</w:t>
      </w:r>
    </w:p>
    <w:p w14:paraId="72F4DF2B" w14:textId="1C4C2B26" w:rsidR="00110174" w:rsidRDefault="288C5DD6" w:rsidP="35BCED57">
      <w:pPr>
        <w:spacing w:before="240" w:after="240"/>
      </w:pPr>
      <w:r w:rsidRPr="35BCED57">
        <w:rPr>
          <w:rFonts w:ascii="Aptos" w:eastAsia="Aptos" w:hAnsi="Aptos" w:cs="Aptos"/>
          <w:color w:val="000000" w:themeColor="text1"/>
        </w:rPr>
        <w:t>L’Application permet la mise en cache de cartes et contenus pour un usage hors-ligne. L’Éditeur ne garantit ni exhaustivité, ni mise à jour en temps réel. Certaines fonctionnalités (réservations, notifications, contenus dynamiques) nécessitent une connexion Internet.</w:t>
      </w:r>
    </w:p>
    <w:p w14:paraId="0DA15221" w14:textId="0C2C3744" w:rsidR="00110174" w:rsidRDefault="288C5DD6" w:rsidP="35BCED57">
      <w:pPr>
        <w:pStyle w:val="Heading2"/>
        <w:spacing w:before="299" w:after="299"/>
      </w:pPr>
      <w:r w:rsidRPr="35BCED57">
        <w:rPr>
          <w:rFonts w:ascii="Aptos" w:eastAsia="Aptos" w:hAnsi="Aptos" w:cs="Aptos"/>
          <w:b/>
          <w:bCs/>
          <w:color w:val="000000" w:themeColor="text1"/>
          <w:sz w:val="36"/>
          <w:szCs w:val="36"/>
        </w:rPr>
        <w:t>Article 7 — Contenus culturels et informationnels</w:t>
      </w:r>
    </w:p>
    <w:p w14:paraId="64F7B8AC" w14:textId="3851C867" w:rsidR="00110174" w:rsidRDefault="288C5DD6" w:rsidP="35BCED57">
      <w:pPr>
        <w:spacing w:before="240" w:after="240"/>
      </w:pPr>
      <w:r w:rsidRPr="35BCED57">
        <w:rPr>
          <w:rFonts w:ascii="Aptos" w:eastAsia="Aptos" w:hAnsi="Aptos" w:cs="Aptos"/>
          <w:color w:val="000000" w:themeColor="text1"/>
        </w:rPr>
        <w:t>Les contenus historiques et culturels sont fournis à titre informatif. Malgré le soin apporté, ils peuvent contenir des erreurs ou évoluer. L’Éditeur n’assume aucune responsabilité pour l’usage des informations ou décisions basées sur celles-ci.</w:t>
      </w:r>
    </w:p>
    <w:p w14:paraId="2890DE88" w14:textId="6CA6566A" w:rsidR="00110174" w:rsidRDefault="288C5DD6" w:rsidP="35BCED57">
      <w:pPr>
        <w:pStyle w:val="Heading2"/>
        <w:spacing w:before="299" w:after="299"/>
      </w:pPr>
      <w:r w:rsidRPr="35BCED57">
        <w:rPr>
          <w:rFonts w:ascii="Aptos" w:eastAsia="Aptos" w:hAnsi="Aptos" w:cs="Aptos"/>
          <w:b/>
          <w:bCs/>
          <w:color w:val="000000" w:themeColor="text1"/>
          <w:sz w:val="36"/>
          <w:szCs w:val="36"/>
        </w:rPr>
        <w:t>Article 8 — Contenus tiers, publicités et partenariats</w:t>
      </w:r>
    </w:p>
    <w:p w14:paraId="0EFC07A0" w14:textId="2171F220" w:rsidR="00110174" w:rsidRDefault="288C5DD6" w:rsidP="35BCED57">
      <w:pPr>
        <w:spacing w:before="240" w:after="240"/>
      </w:pPr>
      <w:r w:rsidRPr="35BCED57">
        <w:rPr>
          <w:rFonts w:ascii="Aptos" w:eastAsia="Aptos" w:hAnsi="Aptos" w:cs="Aptos"/>
          <w:color w:val="000000" w:themeColor="text1"/>
        </w:rPr>
        <w:t>L’Application peut afficher des contenus publicitaires ou partenariats. Les Partenaires sont responsables de la légalité et exactitude de leurs contenus. L’Éditeur ne garantit pas les produits/services des Partenaires et les conditions commerciales sont définies dans des contrats séparés.</w:t>
      </w:r>
    </w:p>
    <w:p w14:paraId="5594BF31" w14:textId="0AB140F2" w:rsidR="00110174" w:rsidRDefault="288C5DD6" w:rsidP="35BCED57">
      <w:pPr>
        <w:pStyle w:val="Heading2"/>
        <w:spacing w:before="299" w:after="299"/>
      </w:pPr>
      <w:r w:rsidRPr="35BCED57">
        <w:rPr>
          <w:rFonts w:ascii="Aptos" w:eastAsia="Aptos" w:hAnsi="Aptos" w:cs="Aptos"/>
          <w:b/>
          <w:bCs/>
          <w:color w:val="000000" w:themeColor="text1"/>
          <w:sz w:val="36"/>
          <w:szCs w:val="36"/>
        </w:rPr>
        <w:t>Article 9 — Contenus générés par les utilisateurs (UGC)</w:t>
      </w:r>
    </w:p>
    <w:p w14:paraId="0A1B9CA1" w14:textId="10A1F8ED" w:rsidR="00110174" w:rsidRDefault="288C5DD6" w:rsidP="35BCED57">
      <w:pPr>
        <w:spacing w:before="240" w:after="240"/>
      </w:pPr>
      <w:r w:rsidRPr="35BCED57">
        <w:rPr>
          <w:rFonts w:ascii="Aptos" w:eastAsia="Aptos" w:hAnsi="Aptos" w:cs="Aptos"/>
          <w:color w:val="000000" w:themeColor="text1"/>
        </w:rPr>
        <w:t>L’Utilisateur garantit être titulaire des droits nécessaires et interdit tout contenu illicite. L’Éditeur bénéficie d’une licence mondiale, non exclusive et gratuite pour héberger, reproduire et diffuser les UGC dans le cadre de l’Application. L’Éditeur peut modérer ou supprimer tout contenu contraire aux CGU ou à la loi.</w:t>
      </w:r>
    </w:p>
    <w:p w14:paraId="4B0B2503" w14:textId="352B0F25" w:rsidR="00110174" w:rsidRDefault="288C5DD6" w:rsidP="35BCED57">
      <w:pPr>
        <w:pStyle w:val="Heading2"/>
        <w:spacing w:before="299" w:after="299"/>
      </w:pPr>
      <w:r w:rsidRPr="35BCED57">
        <w:rPr>
          <w:rFonts w:ascii="Aptos" w:eastAsia="Aptos" w:hAnsi="Aptos" w:cs="Aptos"/>
          <w:b/>
          <w:bCs/>
          <w:color w:val="000000" w:themeColor="text1"/>
          <w:sz w:val="36"/>
          <w:szCs w:val="36"/>
        </w:rPr>
        <w:t>Article 10 — Propriété intellectuelle</w:t>
      </w:r>
    </w:p>
    <w:p w14:paraId="3B28AFB6" w14:textId="7015E966" w:rsidR="00110174" w:rsidRDefault="288C5DD6" w:rsidP="35BCED57">
      <w:pPr>
        <w:spacing w:before="240" w:after="240"/>
      </w:pPr>
      <w:r w:rsidRPr="35BCED57">
        <w:rPr>
          <w:rFonts w:ascii="Aptos" w:eastAsia="Aptos" w:hAnsi="Aptos" w:cs="Aptos"/>
          <w:color w:val="000000" w:themeColor="text1"/>
        </w:rPr>
        <w:t>L’Application, son code, sa base de données, son architecture, ses interfaces et contenus sont protégés par le droit d’auteur et autres droits de propriété intellectuelle. Toute reproduction, adaptation ou utilisation non autorisée est interdite.</w:t>
      </w:r>
    </w:p>
    <w:p w14:paraId="203FBFDA" w14:textId="1A672313" w:rsidR="00110174" w:rsidRDefault="288C5DD6" w:rsidP="35BCED57">
      <w:pPr>
        <w:pStyle w:val="Heading2"/>
        <w:spacing w:before="299" w:after="299"/>
      </w:pPr>
      <w:r w:rsidRPr="35BCED57">
        <w:rPr>
          <w:rFonts w:ascii="Aptos" w:eastAsia="Aptos" w:hAnsi="Aptos" w:cs="Aptos"/>
          <w:b/>
          <w:bCs/>
          <w:color w:val="000000" w:themeColor="text1"/>
          <w:sz w:val="36"/>
          <w:szCs w:val="36"/>
        </w:rPr>
        <w:t>Article 11 — Protection des données personnelles</w:t>
      </w:r>
    </w:p>
    <w:p w14:paraId="64249944" w14:textId="0CF64264" w:rsidR="00110174" w:rsidRDefault="288C5DD6" w:rsidP="35BCED57">
      <w:pPr>
        <w:spacing w:before="240" w:after="240"/>
      </w:pPr>
      <w:r w:rsidRPr="35BCED57">
        <w:rPr>
          <w:rFonts w:ascii="Aptos" w:eastAsia="Aptos" w:hAnsi="Aptos" w:cs="Aptos"/>
          <w:color w:val="000000" w:themeColor="text1"/>
        </w:rPr>
        <w:t>Les traitements de données sont conformes à la loi tunisienne n°2004-63 et aux principes du RGPD lorsque applicable. DACNIS respecte les droits des personnes et assure sécurité, confidentialité et transparence.</w:t>
      </w:r>
    </w:p>
    <w:p w14:paraId="6F54F2DB" w14:textId="30FC483B" w:rsidR="00110174" w:rsidRDefault="288C5DD6" w:rsidP="35BCED57">
      <w:pPr>
        <w:pStyle w:val="Heading2"/>
        <w:spacing w:before="299" w:after="299"/>
      </w:pPr>
      <w:r w:rsidRPr="35BCED57">
        <w:rPr>
          <w:rFonts w:ascii="Aptos" w:eastAsia="Aptos" w:hAnsi="Aptos" w:cs="Aptos"/>
          <w:b/>
          <w:bCs/>
          <w:color w:val="000000" w:themeColor="text1"/>
          <w:sz w:val="36"/>
          <w:szCs w:val="36"/>
        </w:rPr>
        <w:lastRenderedPageBreak/>
        <w:t>Article 12 — Achats intégrés / Services Premium</w:t>
      </w:r>
    </w:p>
    <w:p w14:paraId="276CC20A" w14:textId="5E863A04" w:rsidR="00110174" w:rsidRDefault="288C5DD6" w:rsidP="35BCED57">
      <w:pPr>
        <w:spacing w:before="240" w:after="240"/>
      </w:pPr>
      <w:r w:rsidRPr="35BCED57">
        <w:rPr>
          <w:rFonts w:ascii="Aptos" w:eastAsia="Aptos" w:hAnsi="Aptos" w:cs="Aptos"/>
          <w:color w:val="000000" w:themeColor="text1"/>
        </w:rPr>
        <w:t>Les achats intégrés ou abonnements sont proposés selon les règles des stores. Les conditions financières et modalités sont précisées lors de la souscription. Le droit de rétractation est applicable selon la loi n°2000-83.</w:t>
      </w:r>
    </w:p>
    <w:p w14:paraId="4988C4A4" w14:textId="48A807BB" w:rsidR="00110174" w:rsidRDefault="288C5DD6" w:rsidP="35BCED57">
      <w:pPr>
        <w:pStyle w:val="Heading2"/>
        <w:spacing w:before="299" w:after="299"/>
      </w:pPr>
      <w:r w:rsidRPr="35BCED57">
        <w:rPr>
          <w:rFonts w:ascii="Aptos" w:eastAsia="Aptos" w:hAnsi="Aptos" w:cs="Aptos"/>
          <w:b/>
          <w:bCs/>
          <w:color w:val="000000" w:themeColor="text1"/>
          <w:sz w:val="36"/>
          <w:szCs w:val="36"/>
        </w:rPr>
        <w:t>Article 13 — Responsabilité</w:t>
      </w:r>
    </w:p>
    <w:p w14:paraId="3C7C310E" w14:textId="791BC587" w:rsidR="00110174" w:rsidRDefault="288C5DD6" w:rsidP="35BCED57">
      <w:pPr>
        <w:spacing w:before="240" w:after="240"/>
      </w:pPr>
      <w:r w:rsidRPr="35BCED57">
        <w:rPr>
          <w:rFonts w:ascii="Aptos" w:eastAsia="Aptos" w:hAnsi="Aptos" w:cs="Aptos"/>
          <w:color w:val="000000" w:themeColor="text1"/>
        </w:rPr>
        <w:t>L’Application est fournie en l’état. La responsabilité de l’Éditeur est limitée aux montants payés pour les Services concernés sur les 12 derniers mois, sauf dol, faute lourde ou atteinte à l’intégrité physique. L’Éditeur ne répond pas des prestations offertes par les Partenaires.</w:t>
      </w:r>
    </w:p>
    <w:p w14:paraId="1F7A04ED" w14:textId="3B57C18E" w:rsidR="00110174" w:rsidRDefault="288C5DD6" w:rsidP="35BCED57">
      <w:pPr>
        <w:pStyle w:val="Heading2"/>
        <w:spacing w:before="299" w:after="299"/>
      </w:pPr>
      <w:r w:rsidRPr="35BCED57">
        <w:rPr>
          <w:rFonts w:ascii="Aptos" w:eastAsia="Aptos" w:hAnsi="Aptos" w:cs="Aptos"/>
          <w:b/>
          <w:bCs/>
          <w:color w:val="000000" w:themeColor="text1"/>
          <w:sz w:val="36"/>
          <w:szCs w:val="36"/>
        </w:rPr>
        <w:t>Article 14 — Force majeure</w:t>
      </w:r>
    </w:p>
    <w:p w14:paraId="6C02801D" w14:textId="09D97EF5" w:rsidR="00110174" w:rsidRDefault="288C5DD6" w:rsidP="35BCED57">
      <w:pPr>
        <w:spacing w:before="240" w:after="240"/>
      </w:pPr>
      <w:r w:rsidRPr="35BCED57">
        <w:rPr>
          <w:rFonts w:ascii="Aptos" w:eastAsia="Aptos" w:hAnsi="Aptos" w:cs="Aptos"/>
          <w:color w:val="000000" w:themeColor="text1"/>
        </w:rPr>
        <w:t>Aucune Partie n’est responsable d’un manquement dû à un événement de force majeure.</w:t>
      </w:r>
    </w:p>
    <w:p w14:paraId="527DD270" w14:textId="01DE3C7D" w:rsidR="00110174" w:rsidRDefault="288C5DD6" w:rsidP="35BCED57">
      <w:pPr>
        <w:pStyle w:val="Heading2"/>
        <w:spacing w:before="299" w:after="299"/>
      </w:pPr>
      <w:r w:rsidRPr="35BCED57">
        <w:rPr>
          <w:rFonts w:ascii="Aptos" w:eastAsia="Aptos" w:hAnsi="Aptos" w:cs="Aptos"/>
          <w:b/>
          <w:bCs/>
          <w:color w:val="000000" w:themeColor="text1"/>
          <w:sz w:val="36"/>
          <w:szCs w:val="36"/>
        </w:rPr>
        <w:t>Article 15 — Liens externes</w:t>
      </w:r>
    </w:p>
    <w:p w14:paraId="780E4C28" w14:textId="67572C03" w:rsidR="00110174" w:rsidRDefault="288C5DD6" w:rsidP="35BCED57">
      <w:pPr>
        <w:spacing w:before="240" w:after="240"/>
      </w:pPr>
      <w:r w:rsidRPr="35BCED57">
        <w:rPr>
          <w:rFonts w:ascii="Aptos" w:eastAsia="Aptos" w:hAnsi="Aptos" w:cs="Aptos"/>
          <w:color w:val="000000" w:themeColor="text1"/>
        </w:rPr>
        <w:t>L’Éditeur n’est pas responsable des contenus et disponibilités des sites tiers liés.</w:t>
      </w:r>
    </w:p>
    <w:p w14:paraId="5CF5BDD5" w14:textId="56433A79" w:rsidR="00110174" w:rsidRDefault="288C5DD6" w:rsidP="35BCED57">
      <w:pPr>
        <w:pStyle w:val="Heading2"/>
        <w:spacing w:before="299" w:after="299"/>
      </w:pPr>
      <w:r w:rsidRPr="35BCED57">
        <w:rPr>
          <w:rFonts w:ascii="Aptos" w:eastAsia="Aptos" w:hAnsi="Aptos" w:cs="Aptos"/>
          <w:b/>
          <w:bCs/>
          <w:color w:val="000000" w:themeColor="text1"/>
          <w:sz w:val="36"/>
          <w:szCs w:val="36"/>
        </w:rPr>
        <w:t>Article 16 — Preuves et signatures électroniques</w:t>
      </w:r>
    </w:p>
    <w:p w14:paraId="5F858D17" w14:textId="492400E4" w:rsidR="00110174" w:rsidRDefault="288C5DD6" w:rsidP="35BCED57">
      <w:pPr>
        <w:spacing w:before="240" w:after="240"/>
      </w:pPr>
      <w:r w:rsidRPr="35BCED57">
        <w:rPr>
          <w:rFonts w:ascii="Aptos" w:eastAsia="Aptos" w:hAnsi="Aptos" w:cs="Aptos"/>
          <w:color w:val="000000" w:themeColor="text1"/>
        </w:rPr>
        <w:t>Les enregistrements et signatures électroniques ont valeur probante conformément aux lois tunisiennes n°2000-57 et n°2000-83.</w:t>
      </w:r>
    </w:p>
    <w:p w14:paraId="49178CB2" w14:textId="0088240F" w:rsidR="00110174" w:rsidRDefault="288C5DD6" w:rsidP="35BCED57">
      <w:pPr>
        <w:pStyle w:val="Heading2"/>
        <w:spacing w:before="299" w:after="299"/>
      </w:pPr>
      <w:r w:rsidRPr="35BCED57">
        <w:rPr>
          <w:rFonts w:ascii="Aptos" w:eastAsia="Aptos" w:hAnsi="Aptos" w:cs="Aptos"/>
          <w:b/>
          <w:bCs/>
          <w:color w:val="000000" w:themeColor="text1"/>
          <w:sz w:val="36"/>
          <w:szCs w:val="36"/>
        </w:rPr>
        <w:t>Article 17 — Modifications des CGU</w:t>
      </w:r>
    </w:p>
    <w:p w14:paraId="6F8D214C" w14:textId="04F766B7" w:rsidR="00110174" w:rsidRDefault="288C5DD6" w:rsidP="35BCED57">
      <w:pPr>
        <w:spacing w:before="240" w:after="240"/>
      </w:pPr>
      <w:r w:rsidRPr="35BCED57">
        <w:rPr>
          <w:rFonts w:ascii="Aptos" w:eastAsia="Aptos" w:hAnsi="Aptos" w:cs="Aptos"/>
          <w:color w:val="000000" w:themeColor="text1"/>
        </w:rPr>
        <w:t>L’Éditeur peut adapter les CGU et faire évoluer le Service. L’usage continu vaut acceptation des CGU mises à jour.</w:t>
      </w:r>
    </w:p>
    <w:p w14:paraId="1F21FEC6" w14:textId="2AFBA0B4" w:rsidR="00110174" w:rsidRDefault="288C5DD6" w:rsidP="35BCED57">
      <w:pPr>
        <w:pStyle w:val="Heading2"/>
        <w:spacing w:before="299" w:after="299"/>
      </w:pPr>
      <w:r w:rsidRPr="35BCED57">
        <w:rPr>
          <w:rFonts w:ascii="Aptos" w:eastAsia="Aptos" w:hAnsi="Aptos" w:cs="Aptos"/>
          <w:b/>
          <w:bCs/>
          <w:color w:val="000000" w:themeColor="text1"/>
          <w:sz w:val="36"/>
          <w:szCs w:val="36"/>
        </w:rPr>
        <w:t>Article 18 — Contact et réclamations</w:t>
      </w:r>
    </w:p>
    <w:p w14:paraId="30613821" w14:textId="549E80AF" w:rsidR="00110174" w:rsidRDefault="288C5DD6" w:rsidP="35BCED57">
      <w:pPr>
        <w:spacing w:before="240" w:after="240"/>
      </w:pPr>
      <w:r w:rsidRPr="35BCED57">
        <w:rPr>
          <w:rFonts w:ascii="Aptos" w:eastAsia="Aptos" w:hAnsi="Aptos" w:cs="Aptos"/>
          <w:color w:val="000000" w:themeColor="text1"/>
        </w:rPr>
        <w:t xml:space="preserve">Support : </w:t>
      </w:r>
      <w:hyperlink r:id="rId5">
        <w:r w:rsidRPr="35BCED57">
          <w:rPr>
            <w:rStyle w:val="Hyperlink"/>
            <w:rFonts w:ascii="Aptos" w:eastAsia="Aptos" w:hAnsi="Aptos" w:cs="Aptos"/>
          </w:rPr>
          <w:t>info@fielmedina.com</w:t>
        </w:r>
      </w:hyperlink>
      <w:r w:rsidRPr="35BCED57">
        <w:rPr>
          <w:rFonts w:ascii="Aptos" w:eastAsia="Aptos" w:hAnsi="Aptos" w:cs="Aptos"/>
          <w:color w:val="000000" w:themeColor="text1"/>
        </w:rPr>
        <w:t>. Les réclamations peuvent être adressées via le mécanisme intégré de l’Application.</w:t>
      </w:r>
    </w:p>
    <w:p w14:paraId="40E56C7D" w14:textId="518EA9D3" w:rsidR="00110174" w:rsidRDefault="288C5DD6" w:rsidP="35BCED57">
      <w:pPr>
        <w:pStyle w:val="Heading2"/>
        <w:spacing w:before="299" w:after="299"/>
      </w:pPr>
      <w:r w:rsidRPr="35BCED57">
        <w:rPr>
          <w:rFonts w:ascii="Aptos" w:eastAsia="Aptos" w:hAnsi="Aptos" w:cs="Aptos"/>
          <w:b/>
          <w:bCs/>
          <w:color w:val="000000" w:themeColor="text1"/>
          <w:sz w:val="36"/>
          <w:szCs w:val="36"/>
        </w:rPr>
        <w:lastRenderedPageBreak/>
        <w:t>Article 19 — Droit applicable et arbitrage</w:t>
      </w:r>
    </w:p>
    <w:p w14:paraId="64A1DC59" w14:textId="53E89CAE" w:rsidR="00110174" w:rsidRDefault="288C5DD6" w:rsidP="35BCED57">
      <w:pPr>
        <w:spacing w:before="240" w:after="240"/>
      </w:pPr>
      <w:r w:rsidRPr="35BCED57">
        <w:rPr>
          <w:rFonts w:ascii="Aptos" w:eastAsia="Aptos" w:hAnsi="Aptos" w:cs="Aptos"/>
          <w:color w:val="000000" w:themeColor="text1"/>
        </w:rPr>
        <w:t xml:space="preserve">Les CGU sont régies par le droit tunisien. Tout litige non résolu amiablement peut être soumis à arbitrage selon une clause d’arbitrage avec Maître </w:t>
      </w:r>
      <w:proofErr w:type="spellStart"/>
      <w:r w:rsidRPr="35BCED57">
        <w:rPr>
          <w:rFonts w:ascii="Aptos" w:eastAsia="Aptos" w:hAnsi="Aptos" w:cs="Aptos"/>
          <w:color w:val="000000" w:themeColor="text1"/>
        </w:rPr>
        <w:t>Seddik</w:t>
      </w:r>
      <w:proofErr w:type="spellEnd"/>
      <w:r w:rsidRPr="35BCED57">
        <w:rPr>
          <w:rFonts w:ascii="Aptos" w:eastAsia="Aptos" w:hAnsi="Aptos" w:cs="Aptos"/>
          <w:color w:val="000000" w:themeColor="text1"/>
        </w:rPr>
        <w:t xml:space="preserve"> </w:t>
      </w:r>
      <w:proofErr w:type="spellStart"/>
      <w:r w:rsidRPr="35BCED57">
        <w:rPr>
          <w:rFonts w:ascii="Aptos" w:eastAsia="Aptos" w:hAnsi="Aptos" w:cs="Aptos"/>
          <w:color w:val="000000" w:themeColor="text1"/>
        </w:rPr>
        <w:t>Jlassi</w:t>
      </w:r>
      <w:proofErr w:type="spellEnd"/>
      <w:r w:rsidRPr="35BCED57">
        <w:rPr>
          <w:rFonts w:ascii="Aptos" w:eastAsia="Aptos" w:hAnsi="Aptos" w:cs="Aptos"/>
          <w:color w:val="000000" w:themeColor="text1"/>
        </w:rPr>
        <w:t xml:space="preserve">, avocat, 11 rue Mikhail </w:t>
      </w:r>
      <w:proofErr w:type="spellStart"/>
      <w:r w:rsidRPr="35BCED57">
        <w:rPr>
          <w:rFonts w:ascii="Aptos" w:eastAsia="Aptos" w:hAnsi="Aptos" w:cs="Aptos"/>
          <w:color w:val="000000" w:themeColor="text1"/>
        </w:rPr>
        <w:t>Nouaima</w:t>
      </w:r>
      <w:proofErr w:type="spellEnd"/>
      <w:r w:rsidRPr="35BCED57">
        <w:rPr>
          <w:rFonts w:ascii="Aptos" w:eastAsia="Aptos" w:hAnsi="Aptos" w:cs="Aptos"/>
          <w:color w:val="000000" w:themeColor="text1"/>
        </w:rPr>
        <w:t xml:space="preserve"> </w:t>
      </w:r>
      <w:proofErr w:type="spellStart"/>
      <w:r w:rsidRPr="35BCED57">
        <w:rPr>
          <w:rFonts w:ascii="Aptos" w:eastAsia="Aptos" w:hAnsi="Aptos" w:cs="Aptos"/>
          <w:color w:val="000000" w:themeColor="text1"/>
        </w:rPr>
        <w:t>Hammem</w:t>
      </w:r>
      <w:proofErr w:type="spellEnd"/>
      <w:r w:rsidRPr="35BCED57">
        <w:rPr>
          <w:rFonts w:ascii="Aptos" w:eastAsia="Aptos" w:hAnsi="Aptos" w:cs="Aptos"/>
          <w:color w:val="000000" w:themeColor="text1"/>
        </w:rPr>
        <w:t xml:space="preserve"> Sousse, Sousse.</w:t>
      </w:r>
    </w:p>
    <w:p w14:paraId="7D42C28C" w14:textId="77A145E2" w:rsidR="00110174" w:rsidRDefault="00110174" w:rsidP="35BCED57">
      <w:pPr>
        <w:spacing w:before="240" w:after="240"/>
        <w:rPr>
          <w:rFonts w:ascii="Aptos" w:eastAsia="Aptos" w:hAnsi="Aptos" w:cs="Aptos"/>
          <w:color w:val="000000" w:themeColor="text1"/>
        </w:rPr>
      </w:pPr>
    </w:p>
    <w:p w14:paraId="3BFEFB25" w14:textId="78E54E77" w:rsidR="00110174" w:rsidRDefault="00110174"/>
    <w:sectPr w:rsidR="001101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FFE7"/>
    <w:multiLevelType w:val="multilevel"/>
    <w:tmpl w:val="62C46822"/>
    <w:lvl w:ilvl="0">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51A14D"/>
    <w:multiLevelType w:val="hybridMultilevel"/>
    <w:tmpl w:val="B1CEC8DE"/>
    <w:lvl w:ilvl="0" w:tplc="A2D0AE40">
      <w:start w:val="1"/>
      <w:numFmt w:val="bullet"/>
      <w:lvlText w:val=""/>
      <w:lvlJc w:val="left"/>
      <w:pPr>
        <w:ind w:left="720" w:hanging="360"/>
      </w:pPr>
      <w:rPr>
        <w:rFonts w:ascii="Symbol" w:hAnsi="Symbol" w:hint="default"/>
      </w:rPr>
    </w:lvl>
    <w:lvl w:ilvl="1" w:tplc="4802C922">
      <w:start w:val="1"/>
      <w:numFmt w:val="bullet"/>
      <w:lvlText w:val="o"/>
      <w:lvlJc w:val="left"/>
      <w:pPr>
        <w:ind w:left="1440" w:hanging="360"/>
      </w:pPr>
      <w:rPr>
        <w:rFonts w:ascii="Courier New" w:hAnsi="Courier New" w:hint="default"/>
      </w:rPr>
    </w:lvl>
    <w:lvl w:ilvl="2" w:tplc="A0E03310">
      <w:start w:val="1"/>
      <w:numFmt w:val="bullet"/>
      <w:lvlText w:val=""/>
      <w:lvlJc w:val="left"/>
      <w:pPr>
        <w:ind w:left="2160" w:hanging="360"/>
      </w:pPr>
      <w:rPr>
        <w:rFonts w:ascii="Wingdings" w:hAnsi="Wingdings" w:hint="default"/>
      </w:rPr>
    </w:lvl>
    <w:lvl w:ilvl="3" w:tplc="7CF898DE">
      <w:start w:val="1"/>
      <w:numFmt w:val="bullet"/>
      <w:lvlText w:val=""/>
      <w:lvlJc w:val="left"/>
      <w:pPr>
        <w:ind w:left="2880" w:hanging="360"/>
      </w:pPr>
      <w:rPr>
        <w:rFonts w:ascii="Symbol" w:hAnsi="Symbol" w:hint="default"/>
      </w:rPr>
    </w:lvl>
    <w:lvl w:ilvl="4" w:tplc="E74A8012">
      <w:start w:val="1"/>
      <w:numFmt w:val="bullet"/>
      <w:lvlText w:val="o"/>
      <w:lvlJc w:val="left"/>
      <w:pPr>
        <w:ind w:left="3600" w:hanging="360"/>
      </w:pPr>
      <w:rPr>
        <w:rFonts w:ascii="Courier New" w:hAnsi="Courier New" w:hint="default"/>
      </w:rPr>
    </w:lvl>
    <w:lvl w:ilvl="5" w:tplc="B9022E76">
      <w:start w:val="1"/>
      <w:numFmt w:val="bullet"/>
      <w:lvlText w:val=""/>
      <w:lvlJc w:val="left"/>
      <w:pPr>
        <w:ind w:left="4320" w:hanging="360"/>
      </w:pPr>
      <w:rPr>
        <w:rFonts w:ascii="Wingdings" w:hAnsi="Wingdings" w:hint="default"/>
      </w:rPr>
    </w:lvl>
    <w:lvl w:ilvl="6" w:tplc="CB5284CC">
      <w:start w:val="1"/>
      <w:numFmt w:val="bullet"/>
      <w:lvlText w:val=""/>
      <w:lvlJc w:val="left"/>
      <w:pPr>
        <w:ind w:left="5040" w:hanging="360"/>
      </w:pPr>
      <w:rPr>
        <w:rFonts w:ascii="Symbol" w:hAnsi="Symbol" w:hint="default"/>
      </w:rPr>
    </w:lvl>
    <w:lvl w:ilvl="7" w:tplc="EAA2043E">
      <w:start w:val="1"/>
      <w:numFmt w:val="bullet"/>
      <w:lvlText w:val="o"/>
      <w:lvlJc w:val="left"/>
      <w:pPr>
        <w:ind w:left="5760" w:hanging="360"/>
      </w:pPr>
      <w:rPr>
        <w:rFonts w:ascii="Courier New" w:hAnsi="Courier New" w:hint="default"/>
      </w:rPr>
    </w:lvl>
    <w:lvl w:ilvl="8" w:tplc="07D48DD0">
      <w:start w:val="1"/>
      <w:numFmt w:val="bullet"/>
      <w:lvlText w:val=""/>
      <w:lvlJc w:val="left"/>
      <w:pPr>
        <w:ind w:left="6480" w:hanging="360"/>
      </w:pPr>
      <w:rPr>
        <w:rFonts w:ascii="Wingdings" w:hAnsi="Wingdings" w:hint="default"/>
      </w:rPr>
    </w:lvl>
  </w:abstractNum>
  <w:abstractNum w:abstractNumId="2" w15:restartNumberingAfterBreak="0">
    <w:nsid w:val="40B419C3"/>
    <w:multiLevelType w:val="hybridMultilevel"/>
    <w:tmpl w:val="22D6DE8E"/>
    <w:lvl w:ilvl="0" w:tplc="83F019AC">
      <w:start w:val="1"/>
      <w:numFmt w:val="bullet"/>
      <w:lvlText w:val=""/>
      <w:lvlJc w:val="left"/>
      <w:pPr>
        <w:ind w:left="720" w:hanging="360"/>
      </w:pPr>
      <w:rPr>
        <w:rFonts w:ascii="Symbol" w:hAnsi="Symbol" w:hint="default"/>
      </w:rPr>
    </w:lvl>
    <w:lvl w:ilvl="1" w:tplc="58F053B2">
      <w:start w:val="1"/>
      <w:numFmt w:val="bullet"/>
      <w:lvlText w:val="o"/>
      <w:lvlJc w:val="left"/>
      <w:pPr>
        <w:ind w:left="1440" w:hanging="360"/>
      </w:pPr>
      <w:rPr>
        <w:rFonts w:ascii="Courier New" w:hAnsi="Courier New" w:hint="default"/>
      </w:rPr>
    </w:lvl>
    <w:lvl w:ilvl="2" w:tplc="3DD45FEA">
      <w:start w:val="1"/>
      <w:numFmt w:val="bullet"/>
      <w:lvlText w:val=""/>
      <w:lvlJc w:val="left"/>
      <w:pPr>
        <w:ind w:left="2160" w:hanging="360"/>
      </w:pPr>
      <w:rPr>
        <w:rFonts w:ascii="Wingdings" w:hAnsi="Wingdings" w:hint="default"/>
      </w:rPr>
    </w:lvl>
    <w:lvl w:ilvl="3" w:tplc="F8E4DC10">
      <w:start w:val="1"/>
      <w:numFmt w:val="bullet"/>
      <w:lvlText w:val=""/>
      <w:lvlJc w:val="left"/>
      <w:pPr>
        <w:ind w:left="2880" w:hanging="360"/>
      </w:pPr>
      <w:rPr>
        <w:rFonts w:ascii="Symbol" w:hAnsi="Symbol" w:hint="default"/>
      </w:rPr>
    </w:lvl>
    <w:lvl w:ilvl="4" w:tplc="E7A2DF42">
      <w:start w:val="1"/>
      <w:numFmt w:val="bullet"/>
      <w:lvlText w:val="o"/>
      <w:lvlJc w:val="left"/>
      <w:pPr>
        <w:ind w:left="3600" w:hanging="360"/>
      </w:pPr>
      <w:rPr>
        <w:rFonts w:ascii="Courier New" w:hAnsi="Courier New" w:hint="default"/>
      </w:rPr>
    </w:lvl>
    <w:lvl w:ilvl="5" w:tplc="A5FC3FB6">
      <w:start w:val="1"/>
      <w:numFmt w:val="bullet"/>
      <w:lvlText w:val=""/>
      <w:lvlJc w:val="left"/>
      <w:pPr>
        <w:ind w:left="4320" w:hanging="360"/>
      </w:pPr>
      <w:rPr>
        <w:rFonts w:ascii="Wingdings" w:hAnsi="Wingdings" w:hint="default"/>
      </w:rPr>
    </w:lvl>
    <w:lvl w:ilvl="6" w:tplc="B4303060">
      <w:start w:val="1"/>
      <w:numFmt w:val="bullet"/>
      <w:lvlText w:val=""/>
      <w:lvlJc w:val="left"/>
      <w:pPr>
        <w:ind w:left="5040" w:hanging="360"/>
      </w:pPr>
      <w:rPr>
        <w:rFonts w:ascii="Symbol" w:hAnsi="Symbol" w:hint="default"/>
      </w:rPr>
    </w:lvl>
    <w:lvl w:ilvl="7" w:tplc="1F9041D2">
      <w:start w:val="1"/>
      <w:numFmt w:val="bullet"/>
      <w:lvlText w:val="o"/>
      <w:lvlJc w:val="left"/>
      <w:pPr>
        <w:ind w:left="5760" w:hanging="360"/>
      </w:pPr>
      <w:rPr>
        <w:rFonts w:ascii="Courier New" w:hAnsi="Courier New" w:hint="default"/>
      </w:rPr>
    </w:lvl>
    <w:lvl w:ilvl="8" w:tplc="A7F03C5A">
      <w:start w:val="1"/>
      <w:numFmt w:val="bullet"/>
      <w:lvlText w:val=""/>
      <w:lvlJc w:val="left"/>
      <w:pPr>
        <w:ind w:left="6480" w:hanging="360"/>
      </w:pPr>
      <w:rPr>
        <w:rFonts w:ascii="Wingdings" w:hAnsi="Wingdings" w:hint="default"/>
      </w:rPr>
    </w:lvl>
  </w:abstractNum>
  <w:abstractNum w:abstractNumId="3" w15:restartNumberingAfterBreak="0">
    <w:nsid w:val="65B4B4DC"/>
    <w:multiLevelType w:val="hybridMultilevel"/>
    <w:tmpl w:val="423421A8"/>
    <w:lvl w:ilvl="0" w:tplc="71B25A8C">
      <w:start w:val="1"/>
      <w:numFmt w:val="bullet"/>
      <w:lvlText w:val=""/>
      <w:lvlJc w:val="left"/>
      <w:pPr>
        <w:ind w:left="720" w:hanging="360"/>
      </w:pPr>
      <w:rPr>
        <w:rFonts w:ascii="Symbol" w:hAnsi="Symbol" w:hint="default"/>
      </w:rPr>
    </w:lvl>
    <w:lvl w:ilvl="1" w:tplc="036E0A88">
      <w:start w:val="1"/>
      <w:numFmt w:val="bullet"/>
      <w:lvlText w:val="o"/>
      <w:lvlJc w:val="left"/>
      <w:pPr>
        <w:ind w:left="1440" w:hanging="360"/>
      </w:pPr>
      <w:rPr>
        <w:rFonts w:ascii="Courier New" w:hAnsi="Courier New" w:hint="default"/>
      </w:rPr>
    </w:lvl>
    <w:lvl w:ilvl="2" w:tplc="7ED2B4AA">
      <w:start w:val="1"/>
      <w:numFmt w:val="bullet"/>
      <w:lvlText w:val=""/>
      <w:lvlJc w:val="left"/>
      <w:pPr>
        <w:ind w:left="2160" w:hanging="360"/>
      </w:pPr>
      <w:rPr>
        <w:rFonts w:ascii="Wingdings" w:hAnsi="Wingdings" w:hint="default"/>
      </w:rPr>
    </w:lvl>
    <w:lvl w:ilvl="3" w:tplc="5EC2AC54">
      <w:start w:val="1"/>
      <w:numFmt w:val="bullet"/>
      <w:lvlText w:val=""/>
      <w:lvlJc w:val="left"/>
      <w:pPr>
        <w:ind w:left="2880" w:hanging="360"/>
      </w:pPr>
      <w:rPr>
        <w:rFonts w:ascii="Symbol" w:hAnsi="Symbol" w:hint="default"/>
      </w:rPr>
    </w:lvl>
    <w:lvl w:ilvl="4" w:tplc="A718EAA0">
      <w:start w:val="1"/>
      <w:numFmt w:val="bullet"/>
      <w:lvlText w:val="o"/>
      <w:lvlJc w:val="left"/>
      <w:pPr>
        <w:ind w:left="3600" w:hanging="360"/>
      </w:pPr>
      <w:rPr>
        <w:rFonts w:ascii="Courier New" w:hAnsi="Courier New" w:hint="default"/>
      </w:rPr>
    </w:lvl>
    <w:lvl w:ilvl="5" w:tplc="A470FDF8">
      <w:start w:val="1"/>
      <w:numFmt w:val="bullet"/>
      <w:lvlText w:val=""/>
      <w:lvlJc w:val="left"/>
      <w:pPr>
        <w:ind w:left="4320" w:hanging="360"/>
      </w:pPr>
      <w:rPr>
        <w:rFonts w:ascii="Wingdings" w:hAnsi="Wingdings" w:hint="default"/>
      </w:rPr>
    </w:lvl>
    <w:lvl w:ilvl="6" w:tplc="BC664540">
      <w:start w:val="1"/>
      <w:numFmt w:val="bullet"/>
      <w:lvlText w:val=""/>
      <w:lvlJc w:val="left"/>
      <w:pPr>
        <w:ind w:left="5040" w:hanging="360"/>
      </w:pPr>
      <w:rPr>
        <w:rFonts w:ascii="Symbol" w:hAnsi="Symbol" w:hint="default"/>
      </w:rPr>
    </w:lvl>
    <w:lvl w:ilvl="7" w:tplc="0204D2DE">
      <w:start w:val="1"/>
      <w:numFmt w:val="bullet"/>
      <w:lvlText w:val="o"/>
      <w:lvlJc w:val="left"/>
      <w:pPr>
        <w:ind w:left="5760" w:hanging="360"/>
      </w:pPr>
      <w:rPr>
        <w:rFonts w:ascii="Courier New" w:hAnsi="Courier New" w:hint="default"/>
      </w:rPr>
    </w:lvl>
    <w:lvl w:ilvl="8" w:tplc="31AE7040">
      <w:start w:val="1"/>
      <w:numFmt w:val="bullet"/>
      <w:lvlText w:val=""/>
      <w:lvlJc w:val="left"/>
      <w:pPr>
        <w:ind w:left="6480" w:hanging="360"/>
      </w:pPr>
      <w:rPr>
        <w:rFonts w:ascii="Wingdings" w:hAnsi="Wingdings" w:hint="default"/>
      </w:rPr>
    </w:lvl>
  </w:abstractNum>
  <w:num w:numId="1" w16cid:durableId="358314209">
    <w:abstractNumId w:val="1"/>
  </w:num>
  <w:num w:numId="2" w16cid:durableId="2130128853">
    <w:abstractNumId w:val="3"/>
  </w:num>
  <w:num w:numId="3" w16cid:durableId="1878548440">
    <w:abstractNumId w:val="0"/>
  </w:num>
  <w:num w:numId="4" w16cid:durableId="849368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EF2D0A"/>
    <w:rsid w:val="00041950"/>
    <w:rsid w:val="00110174"/>
    <w:rsid w:val="006666A1"/>
    <w:rsid w:val="058CBAD6"/>
    <w:rsid w:val="0CF12A1E"/>
    <w:rsid w:val="288C5DD6"/>
    <w:rsid w:val="35BCED57"/>
    <w:rsid w:val="38F28040"/>
    <w:rsid w:val="3CCD23A8"/>
    <w:rsid w:val="40592497"/>
    <w:rsid w:val="5DF43534"/>
    <w:rsid w:val="68AF5A40"/>
    <w:rsid w:val="74E66CD8"/>
    <w:rsid w:val="7EEF2D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2D0A"/>
  <w15:chartTrackingRefBased/>
  <w15:docId w15:val="{0666078B-E081-46F6-946B-E827A5CA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35BCE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35BCE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5BCED57"/>
    <w:pPr>
      <w:ind w:left="720"/>
      <w:contextualSpacing/>
    </w:pPr>
  </w:style>
  <w:style w:type="character" w:styleId="Hyperlink">
    <w:name w:val="Hyperlink"/>
    <w:basedOn w:val="DefaultParagraphFont"/>
    <w:uiPriority w:val="99"/>
    <w:unhideWhenUsed/>
    <w:rsid w:val="35BCED57"/>
    <w:rPr>
      <w:color w:val="467886"/>
      <w:u w:val="single"/>
    </w:rPr>
  </w:style>
  <w:style w:type="paragraph" w:customStyle="1" w:styleId="FirstParagraph">
    <w:name w:val="First Paragraph"/>
    <w:basedOn w:val="Normal"/>
    <w:uiPriority w:val="1"/>
    <w:qFormat/>
    <w:rsid w:val="35BCED57"/>
    <w:pPr>
      <w:spacing w:before="180" w:after="180"/>
    </w:pPr>
    <w:rPr>
      <w:rFonts w:eastAsiaTheme="minorEastAsia"/>
    </w:rPr>
  </w:style>
  <w:style w:type="paragraph" w:customStyle="1" w:styleId="Compact">
    <w:name w:val="Compact"/>
    <w:basedOn w:val="Normal"/>
    <w:uiPriority w:val="1"/>
    <w:qFormat/>
    <w:rsid w:val="35BCED57"/>
    <w:pPr>
      <w:spacing w:before="36" w:after="36"/>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fielmedin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1007</Words>
  <Characters>5742</Characters>
  <Application>Microsoft Office Word</Application>
  <DocSecurity>0</DocSecurity>
  <Lines>47</Lines>
  <Paragraphs>13</Paragraphs>
  <ScaleCrop>false</ScaleCrop>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seddik djelassi</dc:creator>
  <cp:keywords/>
  <dc:description/>
  <cp:lastModifiedBy>Devs</cp:lastModifiedBy>
  <cp:revision>2</cp:revision>
  <dcterms:created xsi:type="dcterms:W3CDTF">2025-09-01T20:47:00Z</dcterms:created>
  <dcterms:modified xsi:type="dcterms:W3CDTF">2025-09-10T09:23:00Z</dcterms:modified>
</cp:coreProperties>
</file>