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602D9" w14:textId="66E6B116" w:rsidR="001F2F41" w:rsidRPr="00B73A4C" w:rsidRDefault="00B91988" w:rsidP="00B91988">
      <w:pPr>
        <w:jc w:val="center"/>
        <w:rPr>
          <w:rFonts w:ascii="Times New Roman" w:hAnsi="Times New Roman" w:cs="Times New Roman"/>
          <w:b/>
          <w:bCs/>
          <w:sz w:val="24"/>
          <w:szCs w:val="24"/>
        </w:rPr>
      </w:pPr>
      <w:r w:rsidRPr="00B73A4C">
        <w:rPr>
          <w:rFonts w:ascii="Times New Roman" w:hAnsi="Times New Roman" w:cs="Times New Roman"/>
          <w:b/>
          <w:bCs/>
          <w:sz w:val="24"/>
          <w:szCs w:val="24"/>
        </w:rPr>
        <w:t>Report – 2</w:t>
      </w:r>
    </w:p>
    <w:p w14:paraId="0D28E8C6" w14:textId="009B01F2" w:rsidR="00B91988" w:rsidRPr="00B73A4C" w:rsidRDefault="00B91988" w:rsidP="00B91988">
      <w:pPr>
        <w:spacing w:line="276" w:lineRule="auto"/>
        <w:jc w:val="both"/>
        <w:rPr>
          <w:rFonts w:ascii="Times New Roman" w:hAnsi="Times New Roman" w:cs="Times New Roman"/>
          <w:sz w:val="24"/>
          <w:szCs w:val="24"/>
        </w:rPr>
      </w:pPr>
      <w:r w:rsidRPr="00B73A4C">
        <w:rPr>
          <w:rFonts w:ascii="Times New Roman" w:hAnsi="Times New Roman" w:cs="Times New Roman"/>
          <w:sz w:val="24"/>
          <w:szCs w:val="24"/>
        </w:rPr>
        <w:t>We have seen that,</w:t>
      </w:r>
      <w:r w:rsidR="00631B91" w:rsidRPr="00B73A4C">
        <w:rPr>
          <w:rFonts w:ascii="Times New Roman" w:hAnsi="Times New Roman" w:cs="Times New Roman"/>
          <w:sz w:val="24"/>
          <w:szCs w:val="24"/>
        </w:rPr>
        <w:t xml:space="preserve"> CTAB proves to be an important component, as surfactant in our experiment. But it is also necessary to optimize and search for alternative surfactant. CTAB itself is partly organic with long carbon chain and partly ionic. </w:t>
      </w:r>
      <w:r w:rsidR="00C774C9" w:rsidRPr="00B73A4C">
        <w:rPr>
          <w:rFonts w:ascii="Times New Roman" w:hAnsi="Times New Roman" w:cs="Times New Roman"/>
          <w:sz w:val="24"/>
          <w:szCs w:val="24"/>
        </w:rPr>
        <w:t>Thus,</w:t>
      </w:r>
      <w:r w:rsidR="00631B91" w:rsidRPr="00B73A4C">
        <w:rPr>
          <w:rFonts w:ascii="Times New Roman" w:hAnsi="Times New Roman" w:cs="Times New Roman"/>
          <w:sz w:val="24"/>
          <w:szCs w:val="24"/>
        </w:rPr>
        <w:t xml:space="preserve"> we begin analyzing by varying the chain length of the carbon chain. This gives rise to </w:t>
      </w:r>
      <w:r w:rsidR="00C774C9" w:rsidRPr="00B73A4C">
        <w:rPr>
          <w:rFonts w:ascii="Times New Roman" w:hAnsi="Times New Roman" w:cs="Times New Roman"/>
          <w:sz w:val="24"/>
          <w:szCs w:val="24"/>
        </w:rPr>
        <w:t>dodecyl trimethylammoniumbromide (DTAB)</w:t>
      </w:r>
      <w:r w:rsidR="00631B91" w:rsidRPr="00B73A4C">
        <w:rPr>
          <w:rFonts w:ascii="Times New Roman" w:hAnsi="Times New Roman" w:cs="Times New Roman"/>
          <w:sz w:val="24"/>
          <w:szCs w:val="24"/>
        </w:rPr>
        <w:t xml:space="preserve">, </w:t>
      </w:r>
      <w:r w:rsidR="00C774C9" w:rsidRPr="00B73A4C">
        <w:rPr>
          <w:rFonts w:ascii="Times New Roman" w:hAnsi="Times New Roman" w:cs="Times New Roman"/>
          <w:sz w:val="24"/>
          <w:szCs w:val="24"/>
        </w:rPr>
        <w:t>tetradecyltrimethylammoniumbromide (TTAB) and so on. By varying the carbon chain length (by increasing the chain length), the nanoparticle size decreases, under similar condition. Thus, to obtain nanomaterial with certain geometric aspect, varying the chain length can be a better optimization.</w:t>
      </w:r>
    </w:p>
    <w:p w14:paraId="55A650B8" w14:textId="6AD29BBA" w:rsidR="00E8483D" w:rsidRPr="00B73A4C" w:rsidRDefault="00E8483D" w:rsidP="00B91988">
      <w:pPr>
        <w:spacing w:line="276" w:lineRule="auto"/>
        <w:jc w:val="both"/>
        <w:rPr>
          <w:rFonts w:ascii="Times New Roman" w:hAnsi="Times New Roman" w:cs="Times New Roman"/>
          <w:sz w:val="24"/>
          <w:szCs w:val="24"/>
        </w:rPr>
      </w:pPr>
      <w:r w:rsidRPr="00B73A4C">
        <w:rPr>
          <w:rFonts w:ascii="Times New Roman" w:hAnsi="Times New Roman" w:cs="Times New Roman"/>
          <w:sz w:val="24"/>
          <w:szCs w:val="24"/>
        </w:rPr>
        <w:t xml:space="preserve">Though the </w:t>
      </w:r>
      <w:r w:rsidR="005C4A2D" w:rsidRPr="00B73A4C">
        <w:rPr>
          <w:rFonts w:ascii="Times New Roman" w:hAnsi="Times New Roman" w:cs="Times New Roman"/>
          <w:sz w:val="24"/>
          <w:szCs w:val="24"/>
        </w:rPr>
        <w:t>above-mentioned</w:t>
      </w:r>
      <w:r w:rsidRPr="00B73A4C">
        <w:rPr>
          <w:rFonts w:ascii="Times New Roman" w:hAnsi="Times New Roman" w:cs="Times New Roman"/>
          <w:sz w:val="24"/>
          <w:szCs w:val="24"/>
        </w:rPr>
        <w:t xml:space="preserve"> surfactants seem ideal potential candidates in making nanomaterial, it is also necessary to consider the </w:t>
      </w:r>
      <w:r w:rsidR="005C4A2D" w:rsidRPr="00B73A4C">
        <w:rPr>
          <w:rFonts w:ascii="Times New Roman" w:hAnsi="Times New Roman" w:cs="Times New Roman"/>
          <w:sz w:val="24"/>
          <w:szCs w:val="24"/>
        </w:rPr>
        <w:t>stability associated with the colloidal solution. Since our experiment uses centrifuge, it is also necessary to consider the amount of surfactant which will be suspended upon centrifugation. Thus, there are many factors which play a heavy hand in choosing surfactants.</w:t>
      </w:r>
    </w:p>
    <w:p w14:paraId="5DD629E3" w14:textId="2CF01D5D" w:rsidR="00C774C9" w:rsidRPr="00B73A4C" w:rsidRDefault="00C774C9" w:rsidP="00B91988">
      <w:pPr>
        <w:spacing w:line="276" w:lineRule="auto"/>
        <w:jc w:val="both"/>
        <w:rPr>
          <w:rFonts w:ascii="Times New Roman" w:hAnsi="Times New Roman" w:cs="Times New Roman"/>
          <w:sz w:val="24"/>
          <w:szCs w:val="24"/>
        </w:rPr>
      </w:pPr>
      <w:r w:rsidRPr="00B73A4C">
        <w:rPr>
          <w:rFonts w:ascii="Times New Roman" w:hAnsi="Times New Roman" w:cs="Times New Roman"/>
          <w:sz w:val="24"/>
          <w:szCs w:val="24"/>
        </w:rPr>
        <w:t xml:space="preserve">The other way to optimize the process is to </w:t>
      </w:r>
      <w:r w:rsidR="00A707D1" w:rsidRPr="00B73A4C">
        <w:rPr>
          <w:rFonts w:ascii="Times New Roman" w:hAnsi="Times New Roman" w:cs="Times New Roman"/>
          <w:sz w:val="24"/>
          <w:szCs w:val="24"/>
        </w:rPr>
        <w:t>introduce</w:t>
      </w:r>
      <w:r w:rsidRPr="00B73A4C">
        <w:rPr>
          <w:rFonts w:ascii="Times New Roman" w:hAnsi="Times New Roman" w:cs="Times New Roman"/>
          <w:sz w:val="24"/>
          <w:szCs w:val="24"/>
        </w:rPr>
        <w:t xml:space="preserve"> an extra component which can enhance and act as symbiotic with </w:t>
      </w:r>
      <w:r w:rsidR="00A707D1" w:rsidRPr="00B73A4C">
        <w:rPr>
          <w:rFonts w:ascii="Times New Roman" w:hAnsi="Times New Roman" w:cs="Times New Roman"/>
          <w:sz w:val="24"/>
          <w:szCs w:val="24"/>
        </w:rPr>
        <w:t>the currently used surfactant, CTAB. The combined surfactant is called as “Binary Surfactant”.</w:t>
      </w:r>
    </w:p>
    <w:p w14:paraId="55DBC950" w14:textId="25E0E480" w:rsidR="0028171D" w:rsidRPr="00B73A4C" w:rsidRDefault="00A707D1" w:rsidP="00B91988">
      <w:pPr>
        <w:spacing w:line="276" w:lineRule="auto"/>
        <w:jc w:val="both"/>
        <w:rPr>
          <w:rFonts w:ascii="Times New Roman" w:hAnsi="Times New Roman" w:cs="Times New Roman"/>
          <w:sz w:val="24"/>
          <w:szCs w:val="24"/>
        </w:rPr>
      </w:pPr>
      <w:r w:rsidRPr="00B73A4C">
        <w:rPr>
          <w:rFonts w:ascii="Times New Roman" w:hAnsi="Times New Roman" w:cs="Times New Roman"/>
          <w:sz w:val="24"/>
          <w:szCs w:val="24"/>
        </w:rPr>
        <w:t>The primary surfactant used to synthesize gold nanorods</w:t>
      </w:r>
      <w:r w:rsidR="00A92C4A" w:rsidRPr="00B73A4C">
        <w:rPr>
          <w:rFonts w:ascii="Times New Roman" w:hAnsi="Times New Roman" w:cs="Times New Roman"/>
          <w:sz w:val="24"/>
          <w:szCs w:val="24"/>
        </w:rPr>
        <w:t xml:space="preserve"> (GNR)</w:t>
      </w:r>
      <w:r w:rsidRPr="00B73A4C">
        <w:rPr>
          <w:rFonts w:ascii="Times New Roman" w:hAnsi="Times New Roman" w:cs="Times New Roman"/>
          <w:sz w:val="24"/>
          <w:szCs w:val="24"/>
        </w:rPr>
        <w:t xml:space="preserve"> is CTAB. But to synthesize</w:t>
      </w:r>
      <w:r w:rsidR="00A92C4A" w:rsidRPr="00B73A4C">
        <w:rPr>
          <w:rFonts w:ascii="Times New Roman" w:hAnsi="Times New Roman" w:cs="Times New Roman"/>
          <w:sz w:val="24"/>
          <w:szCs w:val="24"/>
        </w:rPr>
        <w:t xml:space="preserve"> high amounts of GNR, high concentration of CTAB is required. </w:t>
      </w:r>
      <w:r w:rsidR="0028171D" w:rsidRPr="00B73A4C">
        <w:rPr>
          <w:rFonts w:ascii="Times New Roman" w:hAnsi="Times New Roman" w:cs="Times New Roman"/>
          <w:sz w:val="24"/>
          <w:szCs w:val="24"/>
        </w:rPr>
        <w:t xml:space="preserve">But CTAB, which acts as soft template here, is not considered as its primary role. </w:t>
      </w:r>
      <w:r w:rsidR="00A92C4A" w:rsidRPr="00B73A4C">
        <w:rPr>
          <w:rFonts w:ascii="Times New Roman" w:hAnsi="Times New Roman" w:cs="Times New Roman"/>
          <w:sz w:val="24"/>
          <w:szCs w:val="24"/>
        </w:rPr>
        <w:t xml:space="preserve">Thus, it is necessary to optimize the surfactant to produce still more amount of GNR </w:t>
      </w:r>
      <w:r w:rsidR="005A530A" w:rsidRPr="00B73A4C">
        <w:rPr>
          <w:rFonts w:ascii="Times New Roman" w:hAnsi="Times New Roman" w:cs="Times New Roman"/>
          <w:sz w:val="24"/>
          <w:szCs w:val="24"/>
        </w:rPr>
        <w:t xml:space="preserve">and </w:t>
      </w:r>
      <w:r w:rsidR="0016409C" w:rsidRPr="00B73A4C">
        <w:rPr>
          <w:rFonts w:ascii="Times New Roman" w:hAnsi="Times New Roman" w:cs="Times New Roman"/>
          <w:sz w:val="24"/>
          <w:szCs w:val="24"/>
        </w:rPr>
        <w:t>different</w:t>
      </w:r>
      <w:r w:rsidR="005A530A" w:rsidRPr="00B73A4C">
        <w:rPr>
          <w:rFonts w:ascii="Times New Roman" w:hAnsi="Times New Roman" w:cs="Times New Roman"/>
          <w:sz w:val="24"/>
          <w:szCs w:val="24"/>
        </w:rPr>
        <w:t xml:space="preserve"> dimensionalities </w:t>
      </w:r>
      <w:r w:rsidR="00A92C4A" w:rsidRPr="00B73A4C">
        <w:rPr>
          <w:rFonts w:ascii="Times New Roman" w:hAnsi="Times New Roman" w:cs="Times New Roman"/>
          <w:sz w:val="24"/>
          <w:szCs w:val="24"/>
        </w:rPr>
        <w:t>with less amount of CTAB.</w:t>
      </w:r>
      <w:r w:rsidR="0028171D" w:rsidRPr="00B73A4C">
        <w:rPr>
          <w:rFonts w:ascii="Times New Roman" w:hAnsi="Times New Roman" w:cs="Times New Roman"/>
          <w:sz w:val="24"/>
          <w:szCs w:val="24"/>
        </w:rPr>
        <w:t xml:space="preserve"> </w:t>
      </w:r>
      <w:r w:rsidR="00A92C4A" w:rsidRPr="00B73A4C">
        <w:rPr>
          <w:rFonts w:ascii="Times New Roman" w:hAnsi="Times New Roman" w:cs="Times New Roman"/>
          <w:sz w:val="24"/>
          <w:szCs w:val="24"/>
        </w:rPr>
        <w:t xml:space="preserve">To </w:t>
      </w:r>
      <w:r w:rsidR="002C5C7B" w:rsidRPr="00B73A4C">
        <w:rPr>
          <w:rFonts w:ascii="Times New Roman" w:hAnsi="Times New Roman" w:cs="Times New Roman"/>
          <w:sz w:val="24"/>
          <w:szCs w:val="24"/>
        </w:rPr>
        <w:t>optimize CTAB, Binary Surfactant is introduced in the production of GNR.</w:t>
      </w:r>
      <w:r w:rsidR="0028171D" w:rsidRPr="00B73A4C">
        <w:rPr>
          <w:rFonts w:ascii="Times New Roman" w:hAnsi="Times New Roman" w:cs="Times New Roman"/>
          <w:sz w:val="24"/>
          <w:szCs w:val="24"/>
        </w:rPr>
        <w:t xml:space="preserve"> </w:t>
      </w:r>
      <w:r w:rsidR="0016409C" w:rsidRPr="00B73A4C">
        <w:rPr>
          <w:rFonts w:ascii="Times New Roman" w:hAnsi="Times New Roman" w:cs="Times New Roman"/>
          <w:sz w:val="24"/>
          <w:szCs w:val="24"/>
        </w:rPr>
        <w:t>The other role of Binary Surfactant is to reduce the amount of impurities produced in the solution, apart from getting different geometrical sizes.</w:t>
      </w:r>
    </w:p>
    <w:p w14:paraId="3FAAC303" w14:textId="1DDA986A" w:rsidR="0016409C" w:rsidRPr="00B73A4C" w:rsidRDefault="0016409C" w:rsidP="00B91988">
      <w:pPr>
        <w:spacing w:line="276" w:lineRule="auto"/>
        <w:jc w:val="both"/>
        <w:rPr>
          <w:rFonts w:ascii="Times New Roman" w:hAnsi="Times New Roman" w:cs="Times New Roman"/>
          <w:sz w:val="24"/>
          <w:szCs w:val="24"/>
        </w:rPr>
      </w:pPr>
      <w:r w:rsidRPr="00B73A4C">
        <w:rPr>
          <w:rFonts w:ascii="Times New Roman" w:hAnsi="Times New Roman" w:cs="Times New Roman"/>
          <w:sz w:val="24"/>
          <w:szCs w:val="24"/>
        </w:rPr>
        <w:t xml:space="preserve">CTAB along with Sodium Oleate (NaOL) is considered as binary surfactant mixture. Here CTAB is cationic and NaOL is anionic surfactant. Since both the components are opposite in nature, increasing one’s concentration will have deep impact in the size of the NR, like length and diameter of the NR. Here, if the concertation of CTAB is increased keeping the other parameters constant, dimeter of NR gets smaller. And the opposite also holds true. </w:t>
      </w:r>
    </w:p>
    <w:p w14:paraId="6615EE93" w14:textId="2A869098" w:rsidR="005C4A2D" w:rsidRDefault="005C4A2D" w:rsidP="00B91988">
      <w:pPr>
        <w:spacing w:line="276" w:lineRule="auto"/>
        <w:jc w:val="both"/>
        <w:rPr>
          <w:rFonts w:ascii="Times New Roman" w:eastAsiaTheme="minorEastAsia" w:hAnsi="Times New Roman" w:cs="Times New Roman"/>
          <w:iCs/>
          <w:sz w:val="24"/>
          <w:szCs w:val="24"/>
        </w:rPr>
      </w:pPr>
      <w:r w:rsidRPr="00B73A4C">
        <w:rPr>
          <w:rFonts w:ascii="Times New Roman" w:hAnsi="Times New Roman" w:cs="Times New Roman"/>
          <w:sz w:val="24"/>
          <w:szCs w:val="24"/>
        </w:rPr>
        <w:t xml:space="preserve">To conclude, binary surfactant is better in synthesizing nanomaterial, compared to introducing a new component and leaving CTAB behind. We have already used CTAB in our experiment and also determined that it helped in synthesizing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TiB</m:t>
            </m:r>
          </m:e>
          <m:sub>
            <m:r>
              <m:rPr>
                <m:sty m:val="p"/>
              </m:rPr>
              <w:rPr>
                <w:rFonts w:ascii="Cambria Math" w:hAnsi="Cambria Math" w:cs="Times New Roman"/>
                <w:sz w:val="24"/>
                <w:szCs w:val="24"/>
              </w:rPr>
              <m:t>2</m:t>
            </m:r>
          </m:sub>
        </m:sSub>
      </m:oMath>
      <w:r w:rsidRPr="00B73A4C">
        <w:rPr>
          <w:rFonts w:ascii="Times New Roman" w:eastAsiaTheme="minorEastAsia" w:hAnsi="Times New Roman" w:cs="Times New Roman"/>
          <w:iCs/>
          <w:sz w:val="24"/>
          <w:szCs w:val="24"/>
        </w:rPr>
        <w:t xml:space="preserve"> nanorods. It is now time to introduce new surfactant like NaOL which does not react with</w:t>
      </w:r>
      <w:r w:rsidRPr="00B73A4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O</m:t>
            </m:r>
          </m:e>
          <m:sub>
            <m:r>
              <m:rPr>
                <m:sty m:val="p"/>
              </m:rPr>
              <w:rPr>
                <w:rFonts w:ascii="Cambria Math" w:eastAsiaTheme="minorEastAsia" w:hAnsi="Cambria Math" w:cs="Times New Roman"/>
                <w:sz w:val="24"/>
                <w:szCs w:val="24"/>
              </w:rPr>
              <m:t>2</m:t>
            </m:r>
          </m:sub>
        </m:sSub>
      </m:oMath>
      <w:r w:rsidRPr="00B73A4C">
        <w:rPr>
          <w:rFonts w:ascii="Times New Roman" w:eastAsiaTheme="minorEastAsia" w:hAnsi="Times New Roman" w:cs="Times New Roman"/>
          <w:iCs/>
          <w:sz w:val="24"/>
          <w:szCs w:val="24"/>
        </w:rPr>
        <w:t xml:space="preserve">, but when combined with CTAB provides higher yield. </w:t>
      </w:r>
    </w:p>
    <w:p w14:paraId="0765F33C" w14:textId="6D30FA5E" w:rsidR="00CE097D" w:rsidRDefault="00CE097D" w:rsidP="00B91988">
      <w:pPr>
        <w:spacing w:line="276" w:lineRule="auto"/>
        <w:jc w:val="both"/>
        <w:rPr>
          <w:rFonts w:ascii="Times New Roman" w:eastAsiaTheme="minorEastAsia" w:hAnsi="Times New Roman" w:cs="Times New Roman"/>
          <w:iCs/>
          <w:sz w:val="24"/>
          <w:szCs w:val="24"/>
        </w:rPr>
      </w:pPr>
    </w:p>
    <w:p w14:paraId="0B01E37C" w14:textId="32563A6B" w:rsidR="00CE097D" w:rsidRDefault="00CE097D" w:rsidP="00B91988">
      <w:pPr>
        <w:spacing w:line="276" w:lineRule="auto"/>
        <w:jc w:val="both"/>
        <w:rPr>
          <w:rFonts w:ascii="Times New Roman" w:eastAsiaTheme="minorEastAsia" w:hAnsi="Times New Roman" w:cs="Times New Roman"/>
          <w:iCs/>
          <w:sz w:val="24"/>
          <w:szCs w:val="24"/>
          <w:u w:val="single"/>
        </w:rPr>
      </w:pPr>
      <w:r w:rsidRPr="00CE097D">
        <w:rPr>
          <w:rFonts w:ascii="Times New Roman" w:eastAsiaTheme="minorEastAsia" w:hAnsi="Times New Roman" w:cs="Times New Roman"/>
          <w:iCs/>
          <w:sz w:val="24"/>
          <w:szCs w:val="24"/>
          <w:u w:val="single"/>
        </w:rPr>
        <w:lastRenderedPageBreak/>
        <w:t>References</w:t>
      </w:r>
      <w:r>
        <w:rPr>
          <w:rFonts w:ascii="Times New Roman" w:eastAsiaTheme="minorEastAsia" w:hAnsi="Times New Roman" w:cs="Times New Roman"/>
          <w:iCs/>
          <w:sz w:val="24"/>
          <w:szCs w:val="24"/>
          <w:u w:val="single"/>
        </w:rPr>
        <w:t>:</w:t>
      </w:r>
    </w:p>
    <w:p w14:paraId="310BDD09" w14:textId="5B0FB766" w:rsidR="00CE097D" w:rsidRDefault="00CE097D" w:rsidP="00CE097D">
      <w:pPr>
        <w:pStyle w:val="ListParagraph"/>
        <w:numPr>
          <w:ilvl w:val="0"/>
          <w:numId w:val="1"/>
        </w:numPr>
        <w:spacing w:line="276" w:lineRule="auto"/>
        <w:jc w:val="both"/>
        <w:rPr>
          <w:rFonts w:ascii="Times New Roman" w:hAnsi="Times New Roman" w:cs="Times New Roman"/>
          <w:sz w:val="24"/>
          <w:szCs w:val="24"/>
        </w:rPr>
      </w:pPr>
      <w:r w:rsidRPr="00CE097D">
        <w:rPr>
          <w:rFonts w:ascii="Times New Roman" w:hAnsi="Times New Roman" w:cs="Times New Roman"/>
          <w:sz w:val="24"/>
          <w:szCs w:val="24"/>
        </w:rPr>
        <w:t xml:space="preserve">Ye, </w:t>
      </w:r>
      <w:proofErr w:type="spellStart"/>
      <w:r w:rsidRPr="00CE097D">
        <w:rPr>
          <w:rFonts w:ascii="Times New Roman" w:hAnsi="Times New Roman" w:cs="Times New Roman"/>
          <w:sz w:val="24"/>
          <w:szCs w:val="24"/>
        </w:rPr>
        <w:t>Xingchen</w:t>
      </w:r>
      <w:proofErr w:type="spellEnd"/>
      <w:r w:rsidRPr="00CE097D">
        <w:rPr>
          <w:rFonts w:ascii="Times New Roman" w:hAnsi="Times New Roman" w:cs="Times New Roman"/>
          <w:sz w:val="24"/>
          <w:szCs w:val="24"/>
        </w:rPr>
        <w:t xml:space="preserve"> &amp; Zheng, Chen &amp; Chen, Jun &amp; Gao, </w:t>
      </w:r>
      <w:proofErr w:type="spellStart"/>
      <w:r w:rsidRPr="00CE097D">
        <w:rPr>
          <w:rFonts w:ascii="Times New Roman" w:hAnsi="Times New Roman" w:cs="Times New Roman"/>
          <w:sz w:val="24"/>
          <w:szCs w:val="24"/>
        </w:rPr>
        <w:t>Yuzhi</w:t>
      </w:r>
      <w:proofErr w:type="spellEnd"/>
      <w:r w:rsidRPr="00CE097D">
        <w:rPr>
          <w:rFonts w:ascii="Times New Roman" w:hAnsi="Times New Roman" w:cs="Times New Roman"/>
          <w:sz w:val="24"/>
          <w:szCs w:val="24"/>
        </w:rPr>
        <w:t xml:space="preserve"> &amp; Murray, Christopher. (2013). Using Binary Surfactant Mixtures </w:t>
      </w:r>
      <w:proofErr w:type="gramStart"/>
      <w:r w:rsidRPr="00CE097D">
        <w:rPr>
          <w:rFonts w:ascii="Times New Roman" w:hAnsi="Times New Roman" w:cs="Times New Roman"/>
          <w:sz w:val="24"/>
          <w:szCs w:val="24"/>
        </w:rPr>
        <w:t>To</w:t>
      </w:r>
      <w:proofErr w:type="gramEnd"/>
      <w:r w:rsidRPr="00CE097D">
        <w:rPr>
          <w:rFonts w:ascii="Times New Roman" w:hAnsi="Times New Roman" w:cs="Times New Roman"/>
          <w:sz w:val="24"/>
          <w:szCs w:val="24"/>
        </w:rPr>
        <w:t xml:space="preserve"> Simultaneously Improve the Dimensional Tunability and </w:t>
      </w:r>
      <w:proofErr w:type="spellStart"/>
      <w:r w:rsidRPr="00CE097D">
        <w:rPr>
          <w:rFonts w:ascii="Times New Roman" w:hAnsi="Times New Roman" w:cs="Times New Roman"/>
          <w:sz w:val="24"/>
          <w:szCs w:val="24"/>
        </w:rPr>
        <w:t>Monodispersity</w:t>
      </w:r>
      <w:proofErr w:type="spellEnd"/>
      <w:r w:rsidRPr="00CE097D">
        <w:rPr>
          <w:rFonts w:ascii="Times New Roman" w:hAnsi="Times New Roman" w:cs="Times New Roman"/>
          <w:sz w:val="24"/>
          <w:szCs w:val="24"/>
        </w:rPr>
        <w:t xml:space="preserve"> in the Seeded Growth of Gold Nanorods. Nano letters. 13. 10.1021/nl304478h.</w:t>
      </w:r>
    </w:p>
    <w:p w14:paraId="04FBB4AD" w14:textId="3256C191" w:rsidR="00CE097D" w:rsidRDefault="00CE097D" w:rsidP="00CE097D">
      <w:pPr>
        <w:pStyle w:val="ListParagraph"/>
        <w:numPr>
          <w:ilvl w:val="0"/>
          <w:numId w:val="1"/>
        </w:numPr>
        <w:spacing w:line="276" w:lineRule="auto"/>
        <w:jc w:val="both"/>
        <w:rPr>
          <w:rFonts w:ascii="Times New Roman" w:hAnsi="Times New Roman" w:cs="Times New Roman"/>
          <w:sz w:val="24"/>
          <w:szCs w:val="24"/>
        </w:rPr>
      </w:pPr>
      <w:r w:rsidRPr="00CE097D">
        <w:rPr>
          <w:rFonts w:ascii="Times New Roman" w:hAnsi="Times New Roman" w:cs="Times New Roman"/>
          <w:sz w:val="24"/>
          <w:szCs w:val="24"/>
        </w:rPr>
        <w:t xml:space="preserve">Smith, Ashleigh &amp; de los Reyes, Carlos &amp; Liberman, Lucy &amp; </w:t>
      </w:r>
      <w:proofErr w:type="spellStart"/>
      <w:r w:rsidRPr="00CE097D">
        <w:rPr>
          <w:rFonts w:ascii="Times New Roman" w:hAnsi="Times New Roman" w:cs="Times New Roman"/>
          <w:sz w:val="24"/>
          <w:szCs w:val="24"/>
        </w:rPr>
        <w:t>Ergülen</w:t>
      </w:r>
      <w:proofErr w:type="spellEnd"/>
      <w:r w:rsidRPr="00CE097D">
        <w:rPr>
          <w:rFonts w:ascii="Times New Roman" w:hAnsi="Times New Roman" w:cs="Times New Roman"/>
          <w:sz w:val="24"/>
          <w:szCs w:val="24"/>
        </w:rPr>
        <w:t xml:space="preserve">, Selin &amp; </w:t>
      </w:r>
      <w:proofErr w:type="spellStart"/>
      <w:r w:rsidRPr="00CE097D">
        <w:rPr>
          <w:rFonts w:ascii="Times New Roman" w:hAnsi="Times New Roman" w:cs="Times New Roman"/>
          <w:sz w:val="24"/>
          <w:szCs w:val="24"/>
        </w:rPr>
        <w:t>Talmon</w:t>
      </w:r>
      <w:proofErr w:type="spellEnd"/>
      <w:r w:rsidRPr="00CE097D">
        <w:rPr>
          <w:rFonts w:ascii="Times New Roman" w:hAnsi="Times New Roman" w:cs="Times New Roman"/>
          <w:sz w:val="24"/>
          <w:szCs w:val="24"/>
        </w:rPr>
        <w:t xml:space="preserve">, Yeshayahu &amp; </w:t>
      </w:r>
      <w:proofErr w:type="spellStart"/>
      <w:r w:rsidRPr="00CE097D">
        <w:rPr>
          <w:rFonts w:ascii="Times New Roman" w:hAnsi="Times New Roman" w:cs="Times New Roman"/>
          <w:sz w:val="24"/>
          <w:szCs w:val="24"/>
        </w:rPr>
        <w:t>Pasquali</w:t>
      </w:r>
      <w:proofErr w:type="spellEnd"/>
      <w:r w:rsidRPr="00CE097D">
        <w:rPr>
          <w:rFonts w:ascii="Times New Roman" w:hAnsi="Times New Roman" w:cs="Times New Roman"/>
          <w:sz w:val="24"/>
          <w:szCs w:val="24"/>
        </w:rPr>
        <w:t>, Matteo &amp; Martí, Angel. (2019). Surfactant-assisted individualization and dispersion of boron nitride nanotubes. Nanoscale Advances. 1. 10.1039/C8NA00315G.</w:t>
      </w:r>
    </w:p>
    <w:p w14:paraId="454CB2B7" w14:textId="4FECD66C" w:rsidR="00CE097D" w:rsidRPr="00CE097D" w:rsidRDefault="00CE097D" w:rsidP="00CE097D">
      <w:pPr>
        <w:pStyle w:val="ListParagraph"/>
        <w:numPr>
          <w:ilvl w:val="0"/>
          <w:numId w:val="1"/>
        </w:numPr>
        <w:spacing w:line="276" w:lineRule="auto"/>
        <w:jc w:val="both"/>
        <w:rPr>
          <w:rFonts w:ascii="Times New Roman" w:hAnsi="Times New Roman" w:cs="Times New Roman"/>
          <w:sz w:val="24"/>
          <w:szCs w:val="24"/>
        </w:rPr>
      </w:pPr>
      <w:r w:rsidRPr="00CE097D">
        <w:rPr>
          <w:rFonts w:ascii="Times New Roman" w:hAnsi="Times New Roman" w:cs="Times New Roman"/>
          <w:sz w:val="24"/>
          <w:szCs w:val="24"/>
        </w:rPr>
        <w:t xml:space="preserve">Singh, L P &amp; Bhattacharyya, </w:t>
      </w:r>
      <w:proofErr w:type="spellStart"/>
      <w:r w:rsidRPr="00CE097D">
        <w:rPr>
          <w:rFonts w:ascii="Times New Roman" w:hAnsi="Times New Roman" w:cs="Times New Roman"/>
          <w:sz w:val="24"/>
          <w:szCs w:val="24"/>
        </w:rPr>
        <w:t>Sriman</w:t>
      </w:r>
      <w:proofErr w:type="spellEnd"/>
      <w:r w:rsidRPr="00CE097D">
        <w:rPr>
          <w:rFonts w:ascii="Times New Roman" w:hAnsi="Times New Roman" w:cs="Times New Roman"/>
          <w:sz w:val="24"/>
          <w:szCs w:val="24"/>
        </w:rPr>
        <w:t xml:space="preserve"> &amp; Mishra, </w:t>
      </w:r>
      <w:proofErr w:type="spellStart"/>
      <w:r w:rsidRPr="00CE097D">
        <w:rPr>
          <w:rFonts w:ascii="Times New Roman" w:hAnsi="Times New Roman" w:cs="Times New Roman"/>
          <w:sz w:val="24"/>
          <w:szCs w:val="24"/>
        </w:rPr>
        <w:t>Geetika</w:t>
      </w:r>
      <w:proofErr w:type="spellEnd"/>
      <w:r w:rsidRPr="00CE097D">
        <w:rPr>
          <w:rFonts w:ascii="Times New Roman" w:hAnsi="Times New Roman" w:cs="Times New Roman"/>
          <w:sz w:val="24"/>
          <w:szCs w:val="24"/>
        </w:rPr>
        <w:t xml:space="preserve"> &amp; </w:t>
      </w:r>
      <w:proofErr w:type="spellStart"/>
      <w:r w:rsidRPr="00CE097D">
        <w:rPr>
          <w:rFonts w:ascii="Times New Roman" w:hAnsi="Times New Roman" w:cs="Times New Roman"/>
          <w:sz w:val="24"/>
          <w:szCs w:val="24"/>
        </w:rPr>
        <w:t>Ahalawat</w:t>
      </w:r>
      <w:proofErr w:type="spellEnd"/>
      <w:r w:rsidRPr="00CE097D">
        <w:rPr>
          <w:rFonts w:ascii="Times New Roman" w:hAnsi="Times New Roman" w:cs="Times New Roman"/>
          <w:sz w:val="24"/>
          <w:szCs w:val="24"/>
        </w:rPr>
        <w:t>, Saurabh. (2011). Erratum to: Functional role of cationic surfactant to control the nano size of silica powder. Applied Nanoscience. 1. 10.1007/s13204-011-0019-y.</w:t>
      </w:r>
    </w:p>
    <w:sectPr w:rsidR="00CE097D" w:rsidRPr="00CE097D" w:rsidSect="007B7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54DC1"/>
    <w:multiLevelType w:val="hybridMultilevel"/>
    <w:tmpl w:val="7138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wMDO1MDcxNDYxMTBT0lEKTi0uzszPAykwqgUAGeCg6CwAAAA="/>
  </w:docVars>
  <w:rsids>
    <w:rsidRoot w:val="00275D86"/>
    <w:rsid w:val="0015474B"/>
    <w:rsid w:val="0016409C"/>
    <w:rsid w:val="001F2F41"/>
    <w:rsid w:val="00275D86"/>
    <w:rsid w:val="0028171D"/>
    <w:rsid w:val="002C5C7B"/>
    <w:rsid w:val="005A530A"/>
    <w:rsid w:val="005C4A2D"/>
    <w:rsid w:val="00631B91"/>
    <w:rsid w:val="007B7C57"/>
    <w:rsid w:val="00A707D1"/>
    <w:rsid w:val="00A92C4A"/>
    <w:rsid w:val="00B17143"/>
    <w:rsid w:val="00B73A4C"/>
    <w:rsid w:val="00B91988"/>
    <w:rsid w:val="00C774C9"/>
    <w:rsid w:val="00CE097D"/>
    <w:rsid w:val="00E8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0136"/>
  <w15:chartTrackingRefBased/>
  <w15:docId w15:val="{5337EE96-8B75-464E-9965-717A5DF4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A2D"/>
    <w:rPr>
      <w:color w:val="808080"/>
    </w:rPr>
  </w:style>
  <w:style w:type="paragraph" w:styleId="ListParagraph">
    <w:name w:val="List Paragraph"/>
    <w:basedOn w:val="Normal"/>
    <w:uiPriority w:val="34"/>
    <w:qFormat/>
    <w:rsid w:val="00CE0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Raman</dc:creator>
  <cp:keywords/>
  <dc:description/>
  <cp:lastModifiedBy>Gokul Raman</cp:lastModifiedBy>
  <cp:revision>8</cp:revision>
  <dcterms:created xsi:type="dcterms:W3CDTF">2020-06-28T08:29:00Z</dcterms:created>
  <dcterms:modified xsi:type="dcterms:W3CDTF">2020-06-28T13:02:00Z</dcterms:modified>
</cp:coreProperties>
</file>