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Schedule B — Commercial Terms</w:t>
      </w:r>
    </w:p>
    <w:p>
      <w:r>
        <w:rPr>
          <w:sz w:val="22"/>
        </w:rPr>
        <w:t>Golf Development OS — Definitions, Billing, True-up (v1.0)</w:t>
      </w:r>
    </w:p>
    <w:p>
      <w:r>
        <w:rPr>
          <w:b/>
        </w:rPr>
        <w:t xml:space="preserve">Effective date: </w:t>
      </w:r>
      <w:r>
        <w:t>2025-12-23</w:t>
      </w:r>
    </w:p>
    <w:p>
      <w:pPr>
        <w:pStyle w:val="Heading2"/>
      </w:pPr>
      <w:r>
        <w:t>1. Definitions</w:t>
      </w:r>
    </w:p>
    <w:p>
      <w:pPr>
        <w:pStyle w:val="Heading3"/>
      </w:pPr>
      <w:r>
        <w:t>Active Player</w:t>
      </w:r>
    </w:p>
    <w:p>
      <w:r>
        <w:t>An 'Active Player' is a registered athlete who, within a rolling thirty (30) day period, has performed at least one (1) of the following actions in the Platform: (a) completed a structured session; (b) confirmed/followed a weekly plan; or (c) submitted training logs/feedback activity.</w:t>
      </w:r>
    </w:p>
    <w:p>
      <w:pPr>
        <w:pStyle w:val="Heading3"/>
      </w:pPr>
      <w:r>
        <w:t>Training Data</w:t>
      </w:r>
    </w:p>
    <w:p>
      <w:r>
        <w:t>All data generated by or associated with a user’s use of the Platform, including plans, sessions, drills, logs, progress indicators, feedback, metadata, and usage events.</w:t>
      </w:r>
    </w:p>
    <w:p>
      <w:pPr>
        <w:pStyle w:val="Heading2"/>
      </w:pPr>
      <w:r>
        <w:t>2. Term and Invoicing</w:t>
      </w:r>
    </w:p>
    <w:p>
      <w:pPr>
        <w:pStyle w:val="ListBullet"/>
      </w:pPr>
      <w:r>
        <w:t>Contract term: twelve (12) months (annual commitment).</w:t>
      </w:r>
    </w:p>
    <w:p>
      <w:pPr>
        <w:pStyle w:val="ListBullet"/>
      </w:pPr>
      <w:r>
        <w:t>Invoicing cadence: monthly in arrears (Platform Fee + Seat Fee based on Active Players for the month).</w:t>
      </w:r>
    </w:p>
    <w:p>
      <w:pPr>
        <w:pStyle w:val="ListBullet"/>
      </w:pPr>
      <w:r>
        <w:t>Payment terms: Net 14 (unless otherwise agreed), by invoice/bank transfer/SEPA/ACH/card as applicable.</w:t>
      </w:r>
    </w:p>
    <w:p>
      <w:pPr>
        <w:pStyle w:val="Heading2"/>
      </w:pPr>
      <w:r>
        <w:t>3. Seat Counting Method</w:t>
      </w:r>
    </w:p>
    <w:p>
      <w:pPr>
        <w:pStyle w:val="ListBullet"/>
      </w:pPr>
      <w:r>
        <w:t>Active Player count is computed automatically using platform events.</w:t>
      </w:r>
    </w:p>
    <w:p>
      <w:pPr>
        <w:pStyle w:val="ListBullet"/>
      </w:pPr>
      <w:r>
        <w:t>Supplier will retain an auditable monthly snapshot: org_id, month, active_player_count, computed_at, and a non-reversible hash of included player IDs.</w:t>
      </w:r>
    </w:p>
    <w:p>
      <w:pPr>
        <w:pStyle w:val="ListBullet"/>
      </w:pPr>
      <w:r>
        <w:t>If a player is associated with multiple organizations, the player counts toward the organization that is the 'System of Record' for that month (configured rule; default: last org assignment by authorized admin).</w:t>
      </w:r>
    </w:p>
    <w:p>
      <w:pPr>
        <w:pStyle w:val="Heading2"/>
      </w:pPr>
      <w:r>
        <w:t>4. Enterprise True-up</w:t>
      </w:r>
    </w:p>
    <w:p>
      <w:pPr>
        <w:pStyle w:val="ListBullet"/>
      </w:pPr>
      <w:r>
        <w:t>Applicable to Enterprise customers only.</w:t>
      </w:r>
    </w:p>
    <w:p>
      <w:pPr>
        <w:pStyle w:val="ListBullet"/>
      </w:pPr>
      <w:r>
        <w:t>True-up frequency: quarterly.</w:t>
      </w:r>
    </w:p>
    <w:p>
      <w:pPr>
        <w:pStyle w:val="ListBullet"/>
      </w:pPr>
      <w:r>
        <w:t>Direction: upward adjustments only (no retroactive downward credits unless mandated by law).</w:t>
      </w:r>
    </w:p>
    <w:p>
      <w:pPr>
        <w:pStyle w:val="ListBullet"/>
      </w:pPr>
      <w:r>
        <w:t>Seat tiering is applied based on the quarter’s peak Active Player count.</w:t>
      </w:r>
    </w:p>
    <w:p>
      <w:pPr>
        <w:pStyle w:val="Heading2"/>
      </w:pPr>
      <w:r>
        <w:t>5. Change Control and Discounts</w:t>
      </w:r>
    </w:p>
    <w:p>
      <w:pPr>
        <w:pStyle w:val="ListBullet"/>
      </w:pPr>
      <w:r>
        <w:t>No custom pricing in Phase 1. Approved exceptions require written approval by Supplier’s authorized signatory.</w:t>
      </w:r>
    </w:p>
    <w:p>
      <w:pPr>
        <w:pStyle w:val="ListBullet"/>
      </w:pPr>
      <w:r>
        <w:t>Permitted incentive: 5–10% discount for annual pre-payment of Platform Fee (seats remain usage-based).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Inter" w:hAnsi="Inter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Inter" w:hAnsi="Inter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Inter" w:hAnsi="Inter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Inter" w:hAnsi="Inter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