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Suggestions for improving invited speaker diversity to reflect trainee diversity</w:t>
      </w:r>
    </w:p>
    <w:p>
      <w:pPr>
        <w:pStyle w:val="FirstParagraph"/>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Running title: Suggestions for improving invited speaker diversity</w:t>
      </w:r>
    </w:p>
    <w:p>
      <w:pPr>
        <w:pStyle w:val="TextBody"/>
        <w:rPr/>
      </w:pPr>
      <w:r>
        <w:rPr/>
      </w:r>
    </w:p>
    <w:p>
      <w:pPr>
        <w:pStyle w:val="TextBody"/>
        <w:rPr/>
      </w:pPr>
      <w:r>
        <w:rPr/>
      </w:r>
    </w:p>
    <w:p>
      <w:pPr>
        <w:pStyle w:val="TextBody"/>
        <w:rPr/>
      </w:pPr>
      <w:r>
        <w:rPr/>
      </w:r>
    </w:p>
    <w:p>
      <w:pPr>
        <w:pStyle w:val="TextBody"/>
        <w:rPr/>
      </w:pPr>
      <w:r>
        <w:rPr/>
      </w:r>
    </w:p>
    <w:p>
      <w:pPr>
        <w:pStyle w:val="TextBody"/>
        <w:rPr/>
      </w:pPr>
      <w:r>
        <w:rPr/>
        <w:t>Ada K. Hagan, Ph.D.*</w:t>
      </w:r>
      <w:r>
        <w:rPr>
          <w:vertAlign w:val="superscript"/>
        </w:rPr>
        <w:t>1</w:t>
      </w:r>
      <w:r>
        <w:rPr>
          <w:rFonts w:eastAsia="Ubuntu" w:cs="Ubuntu" w:ascii="Ubuntu" w:hAnsi="Ubuntu"/>
          <w:vertAlign w:val="superscript"/>
        </w:rPr>
        <w:t>†</w:t>
      </w:r>
      <w:r>
        <w:rPr/>
        <w:t>, Rebecca M. Pollet, Ph.D.</w:t>
      </w:r>
      <w:r>
        <w:rPr>
          <w:vertAlign w:val="superscript"/>
        </w:rPr>
        <w:t>1</w:t>
      </w:r>
      <w:r>
        <w:rPr/>
        <w:t>, and Josie Libertucci, Ph.D.**</w:t>
      </w:r>
      <w:r>
        <w:rPr>
          <w:vertAlign w:val="superscript"/>
        </w:rPr>
        <w:t>1</w:t>
      </w:r>
    </w:p>
    <w:p>
      <w:pPr>
        <w:pStyle w:val="TextBody"/>
        <w:rPr/>
      </w:pPr>
      <w:r>
        <w:rPr/>
      </w:r>
    </w:p>
    <w:p>
      <w:pPr>
        <w:pStyle w:val="TextBody"/>
        <w:rPr/>
      </w:pPr>
      <w:r>
        <w:rPr>
          <w:rFonts w:eastAsia="Ubuntu" w:cs="Ubuntu" w:ascii="Ubuntu" w:hAnsi="Ubuntu"/>
        </w:rPr>
        <w:t>†</w:t>
      </w:r>
      <w:r>
        <w:rPr/>
        <w:t xml:space="preserve"> </w:t>
      </w:r>
      <w:r>
        <w:rPr/>
        <w:t xml:space="preserve">To whom correspondence should be addressed: </w:t>
      </w:r>
      <w:hyperlink r:id="rId2">
        <w:r>
          <w:rPr>
            <w:rStyle w:val="InternetLink"/>
          </w:rPr>
          <w:t>akhagan@alliancescc.com</w:t>
        </w:r>
      </w:hyperlink>
    </w:p>
    <w:p>
      <w:pPr>
        <w:pStyle w:val="TextBody"/>
        <w:rPr>
          <w:rStyle w:val="InternetLink"/>
        </w:rPr>
      </w:pPr>
      <w:r>
        <w:rPr/>
      </w:r>
    </w:p>
    <w:p>
      <w:pPr>
        <w:pStyle w:val="TextBody"/>
        <w:rPr/>
      </w:pPr>
      <w:r>
        <w:rPr/>
        <w:t>1. Department of Microbiology &amp; Immunology, University of Michigan, Ann Arbor, Michigan</w:t>
      </w:r>
    </w:p>
    <w:p>
      <w:pPr>
        <w:pStyle w:val="TextBody"/>
        <w:rPr/>
      </w:pPr>
      <w:r>
        <w:rPr/>
        <w:t>*Current address: Alliance SciComm &amp; Consulting, Linden, Michigan</w:t>
      </w:r>
    </w:p>
    <w:p>
      <w:pPr>
        <w:pStyle w:val="TextBody"/>
        <w:rPr/>
      </w:pPr>
      <w:r>
        <w:rPr/>
        <w:t>**Current address: Farncombe Family Digestive Health Research Institute, Department of Medicine, McMaster University, Hamilton, Ontario, Canada</w:t>
      </w:r>
    </w:p>
    <w:p>
      <w:pPr>
        <w:pStyle w:val="TextBody"/>
        <w:rPr/>
      </w:pPr>
      <w:r>
        <w:rPr/>
      </w:r>
    </w:p>
    <w:p>
      <w:pPr>
        <w:pStyle w:val="TextBody"/>
        <w:rPr/>
      </w:pPr>
      <w:r>
        <w:rPr/>
        <w:t>Figures: 1</w:t>
      </w:r>
    </w:p>
    <w:p>
      <w:pPr>
        <w:pStyle w:val="TextBody"/>
        <w:rPr/>
      </w:pPr>
      <w:r>
        <w:rPr/>
        <w:t>Tables: 1</w:t>
      </w:r>
    </w:p>
    <w:p>
      <w:pPr>
        <w:pStyle w:val="TextBody"/>
        <w:rPr/>
      </w:pPr>
      <w:r>
        <w:rPr/>
        <w:t>Financial support: Department of Microbiology &amp; Immunology, University of Michigan</w:t>
      </w:r>
      <w:r>
        <w:br w:type="page"/>
      </w:r>
    </w:p>
    <w:p>
      <w:pPr>
        <w:pStyle w:val="Heading2"/>
        <w:rPr/>
      </w:pPr>
      <w:bookmarkStart w:id="0" w:name="conflict-of-interest-notification-page"/>
      <w:bookmarkEnd w:id="0"/>
      <w:r>
        <w:rPr/>
        <w:t>Conflict of Interest Notification Page</w:t>
      </w:r>
    </w:p>
    <w:p>
      <w:pPr>
        <w:pStyle w:val="FirstParagraph"/>
        <w:rPr/>
      </w:pPr>
      <w:r>
        <w:rPr/>
      </w:r>
    </w:p>
    <w:p>
      <w:pPr>
        <w:pStyle w:val="TextBody"/>
        <w:rPr/>
      </w:pPr>
      <w:r>
        <w:rPr/>
        <w:t>All authors affirm that there are no conflicts of interest.</w:t>
      </w:r>
    </w:p>
    <w:p>
      <w:pPr>
        <w:pStyle w:val="TextBody"/>
        <w:rPr/>
      </w:pPr>
      <w:r>
        <w:rPr/>
      </w:r>
      <w:r>
        <w:br w:type="page"/>
      </w:r>
    </w:p>
    <w:p>
      <w:pPr>
        <w:pStyle w:val="Heading2"/>
        <w:rPr/>
      </w:pPr>
      <w:bookmarkStart w:id="1" w:name="abstract"/>
      <w:bookmarkEnd w:id="1"/>
      <w:r>
        <w:rPr/>
        <w:t>Abstract</w:t>
      </w:r>
    </w:p>
    <w:p>
      <w:pPr>
        <w:pStyle w:val="FirstParagraph"/>
        <w:spacing w:lineRule="auto" w:line="480"/>
        <w:rPr/>
      </w:pPr>
      <w:r>
        <w:rPr/>
        <w:t>Within the field of biomedical research in the United States, the proportion of underrepresented minorities at the full professor level has remained consistently low, even though trainee demographics are becoming more diverse. Underrepresented groups face a complex set of barriers to achieving faculty status including imposter syndrome, increased performance expectations, and patterns of exclusion. Institutionalized racism and sexism have contributed to these barriers and perpetuated policy that excludes underrepresented minorities. These barriers can contribute to decreased feelings of belonging, which may result in decreased retention of underrepresented minorities. Though some universities have altered their hiring practices to increase the number of underrepresented minorities in the applicant pool, these changes have not been sufficient. Here we argue that departmental invited seminar series can be used to provide trainees with scientific role-models and increase their sense of belonging, while institutions work towards more inclusive policy. In this study, we investigated the demographics (gender and race) of invited seminar speakers over 5 years to the Department of Microbiology and Immunology at the University of Michigan. We also investigated current trainee demographics and compared them to invited speaker demographics to gauge if our trainees are being provided with representation of themselves. We found that invited speaker demographics were skewed towards Caucasian men, and our trainee demographics were not being represented. From these findings, we proposed policy change within the department to address how speakers are being invited with the goal of increasing speaker diversity to better reflect trainee diversity. To facilitate this process, we developed a set of suggestions and a web-based resource that allows scientists, committees, and moderators to identify members of under-served groups. These resources can be easily adapted by other fields or sub-fields to promote inclusion and diversity at seminar series’, conferences, and colloquia.</w:t>
      </w:r>
    </w:p>
    <w:p>
      <w:pPr>
        <w:pStyle w:val="Heading2"/>
        <w:rPr/>
      </w:pPr>
      <w:r>
        <w:rPr/>
      </w:r>
    </w:p>
    <w:p>
      <w:pPr>
        <w:pStyle w:val="Heading2"/>
        <w:rPr/>
      </w:pPr>
      <w:r>
        <w:rPr/>
      </w:r>
    </w:p>
    <w:p>
      <w:pPr>
        <w:pStyle w:val="Heading2"/>
        <w:rPr/>
      </w:pPr>
      <w:bookmarkStart w:id="2" w:name="keywords"/>
      <w:bookmarkEnd w:id="2"/>
      <w:r>
        <w:rPr/>
        <w:t>Keywords</w:t>
      </w:r>
    </w:p>
    <w:p>
      <w:pPr>
        <w:pStyle w:val="FirstParagraph"/>
        <w:rPr/>
      </w:pPr>
      <w:r>
        <w:rPr/>
        <w:t>inclusion, diversity, invited speakers, academia, graduate programs</w:t>
      </w:r>
    </w:p>
    <w:p>
      <w:pPr>
        <w:pStyle w:val="Heading2"/>
        <w:rPr/>
      </w:pPr>
      <w:r>
        <w:rPr/>
      </w:r>
      <w:r>
        <w:br w:type="page"/>
      </w:r>
    </w:p>
    <w:p>
      <w:pPr>
        <w:pStyle w:val="Heading2"/>
        <w:rPr/>
      </w:pPr>
      <w:bookmarkStart w:id="3" w:name="background"/>
      <w:bookmarkEnd w:id="3"/>
      <w:r>
        <w:rPr/>
        <w:t>Background</w:t>
      </w:r>
    </w:p>
    <w:p>
      <w:pPr>
        <w:pStyle w:val="FirstParagraph"/>
        <w:spacing w:lineRule="auto" w:line="480"/>
        <w:rPr/>
      </w:pPr>
      <w:r>
        <w:rPr/>
        <w:t>Long-standing systemic bias, sexism, and racism have contributed to the under-representation of many racial and ethnic groups, as well as women, in science, technology, engineering, and math (STEM) fields (1–4). Specifically, within the field of biomedical research in the United States, the proportion of underrepresented minorities at the full professor level has remained consistently low at 4% (survey data taken from the NIH from 2001 to 2013) (5, 6). Similar discrepancies exist for women in biomedical sciences as full professorships are currently held mostly by men (7, 8). As demographics of faculty within the biomedical sciences remain skewed towards Caucasian men, the demographics of trainees (graduate students and postdocs) are becoming more diverse (5).</w:t>
      </w:r>
    </w:p>
    <w:p>
      <w:pPr>
        <w:pStyle w:val="TextBody"/>
        <w:spacing w:lineRule="auto" w:line="480"/>
        <w:rPr/>
      </w:pPr>
      <w:r>
        <w:rPr/>
        <w:t>Policy changes are needed to support inclusion of all individuals, particularly in the biomedical sciences, since underrepresented groups face a complex set of barriers to achieving faculty status (9). For example, the dedication of women—who have children—to their work is perceived to be less than that of their colleagues, including men who also have children (10–12). Historically under-represented minorities in the United States (HURM), Asian/Asian-Americans, and women are all held to stricter competency standards and report having to work harder than Caucasian men to be perceived as legitimate scholars (13, 14). Asian/Asian-Americans suffer from imposter syndrome at greater rates than other marginalized groups and Asian women report a lack of sponsors (15, 16). Increased performance expectations and patterns of exclusions are consistent themes in studies characterizing the HURM faculty experience (17, 18). While HURM and other marginalized groups share some experiences, differences including varying rates of hiring and tenure promotion mean that unique considerations are important for inclusion of each group (3).</w:t>
      </w:r>
    </w:p>
    <w:p>
      <w:pPr>
        <w:pStyle w:val="TextBody"/>
        <w:spacing w:lineRule="auto" w:line="480"/>
        <w:rPr/>
      </w:pPr>
      <w:r>
        <w:rPr/>
        <w:t>Here, we argue that to support the retention of faculty from marginalized groups at the professor level, universities should provide trainees with visual representation of themselves as successful scientists. Recent studies show that women in STEM benefit from women role models through improved belonging and self-efficacy (19, 20). Predictably, a lack of active inclusion also decreases self-efficacy in URMs, which can result in decreased feelings of belonging (21). However, as the demographics of trainees have become more diverse, those who are not Caucasian men are lacking role models. Institutionalized racism and sexism (22), defined as policies, societal norms, and ideologies that reinforce inequities, have played a large role in access to, inclusion in, and hiring policies at U.S. universities (23, 24). Accordingly, faculty from marginalized groups are eliminated from the applicant pool and subsequent hires, leaving university policies and practices to be predominantly created by Caucasian men. Thus, institutionalized racism and sexism are perpetuated (25, 26). Universities have begun adjusting hiring practices and creating initiatives to address inequitable hiring practices, but have had limited results (27). Considering that most faculties within the U.S. are still skewed towards Caucasian men, invited seminar series are a possible tool to provide marginalized trainees with representation of themselves as successful scientists.</w:t>
      </w:r>
    </w:p>
    <w:p>
      <w:pPr>
        <w:pStyle w:val="TextBody"/>
        <w:spacing w:lineRule="auto" w:line="480"/>
        <w:rPr/>
      </w:pPr>
      <w:r>
        <w:rPr/>
        <w:t xml:space="preserve">Invited seminar series are common within biomedical departments across the United States (28). Usually, seminar series’ consist of faculty members selecting a scientist from another institution to visit their university and present their research, as well as meet with other faculty members and trainees. Named lectureships follow the same format but are decided by committee and are considered more prestigious because they are named in honor of prominent local scientists. These seminar series and lectureships provide an opportunity for trainees to be exposed to research outside of their department. Additionally, being an invited speaker provides the scientist with an opportunity to make future collaborations and build their own </w:t>
      </w:r>
      <w:r>
        <w:rPr>
          <w:i/>
        </w:rPr>
        <w:t>curriculum vitae</w:t>
      </w:r>
      <w:r>
        <w:rPr/>
        <w:t xml:space="preserve"> (CV). Scientists invited to give seminars are widely regarded as successful and the top in their field, providing an opportunity for trainees to be exposed to successful scientists in that field. Some studies have examined the addition of more women speakers at conferences to promote inclusion (29–31), however, we have only identified one other study that has focused on invited speakers at universities (28). In their study, Nittrouer et al, examined 3,652 talks at 50 U.S. institutions in 2013 - 2014 and found that women faculty are less likely to be invited speakers (28). We have not been able to identify any publications examining scientific speaker diversity beyond gender or how department speaker series compares to trainee diversity in that department.</w:t>
      </w:r>
    </w:p>
    <w:p>
      <w:pPr>
        <w:pStyle w:val="TextBody"/>
        <w:spacing w:lineRule="auto" w:line="480"/>
        <w:rPr/>
      </w:pPr>
      <w:r>
        <w:rPr/>
        <w:t>In this study, we examine and compare the demographics of invited speakers to Caucasian men in the Department of Microbiology and Immunology at the University of Michigan. Additionally, we compare invited-speaker demographics to the current trainee demographics to gauge if trainee demographics are being represented throughout the seminar series. Following our investigation, we proposed a policy change to the Department of Microbiology and Immunology in how invited speakers are selected to promote inclusion in our department and reduce unconscious bias. In order to facilitate inviting a more diverse group of scientists, we developed a set of resources that allow scientists, within the fields of microbiology and immunology, to self-identify any under-represented or under-served identity including: HURM, non-Caucasian/non-HURM (NCNH), or a Caucasian woman. These resources will promote inclusion and diversity by providing greater representation of all scientists and will provide hosts an opportunity to invite a more diverse group of scientists.</w:t>
      </w:r>
    </w:p>
    <w:p>
      <w:pPr>
        <w:pStyle w:val="Heading2"/>
        <w:rPr/>
      </w:pPr>
      <w:bookmarkStart w:id="4" w:name="methods"/>
      <w:bookmarkEnd w:id="4"/>
      <w:r>
        <w:rPr/>
        <w:t>Methods</w:t>
      </w:r>
    </w:p>
    <w:p>
      <w:pPr>
        <w:pStyle w:val="FirstParagraph"/>
        <w:spacing w:lineRule="auto" w:line="480"/>
        <w:rPr/>
      </w:pPr>
      <w:r>
        <w:rPr/>
        <w:t>Each academic year, each faculty member in the Department of Microbiology and Immunology at the University of Michigan has the opportunity to invite one speaker per year for a weekly seminar series. Some of these seminar slots are dedicated to named lectureships, which are decided by committee, and three trainee-invited speakers. We analyzed the demographics of invited speakers and faculty hosts for five academic years (Fall 2014 - Spring 2019), and compared them to the current trainees when the data were analyzed (Spring 2019). Each speaker was only counted once and those listed as departmental faculty members or as a “host” at any point could not also be considered “invited speakers”. The list of faculty hosts was used as a proxy for faculty demographics since as hosts, these faculty members are visible representatives of the department. There were a total of 142 invited speakers and paired hosts. The trainees were identified using departmental email lists that included masters students, doctoral students, and post-doctoral fellows. There were 44 students and 45 post-doctoral fellows.</w:t>
      </w:r>
    </w:p>
    <w:p>
      <w:pPr>
        <w:pStyle w:val="TextBody"/>
        <w:spacing w:lineRule="auto" w:line="480"/>
        <w:rPr/>
      </w:pPr>
      <w:r>
        <w:rPr/>
        <w:t>This is a retrospective study, thus speakers were not asked for their identities at the time of visit. Instead we hand-coded proxy demographics of the speakers, faculty hosts and trainees using first names, publicly available photos, and CVs (32–36). Information from CVs, such as undergraduate institutions and activity in HURM groups helped inform our demographics by indicating identities that might be held by that individual. For instance, an undergraduate at a Puerto Rican university and activity in the non-profit Ciencia Puerto Rico suggests that even if the individual appears Caucasian, they probably identify as Puerto Rican and qualify as a URM. Because these data were collected from publicly available sources, this study was not submitted to an IRB for consideration. The presenting gender of each individual was inferred using a binary system (man/woman). Due to the low number of individuals in the study, race/ethnicity demographics were only split into three groups: Caucasian, Historically Under-represented Minority (HURM), and Non-Caucasian/Non-HURM (NCNH), each with a binary (yes/no) possibility. Caucasian was inferred using the current U.S. Census definition where those of Middle Eastern, European, and Russian descent are included. URM individuals include those of African-American, Indigenous American, Alaskan/Hawaiian Native, Latinx and/or Hispanic heritage (20 U.S. Code § 1067k), we use the HURM designation to recognize the history of enslavement and active oppression in the U.S.. The NCNH group predominantly included Asian/Asian-Americans, but also African immigrants (37).</w:t>
      </w:r>
    </w:p>
    <w:p>
      <w:pPr>
        <w:pStyle w:val="TextBody"/>
        <w:spacing w:lineRule="auto" w:line="480"/>
        <w:rPr/>
      </w:pPr>
      <w:r>
        <w:rPr/>
        <w:t>Data were compiled and figures generated in R Statistical Software, using relevant packages (38–50).</w:t>
      </w:r>
    </w:p>
    <w:p>
      <w:pPr>
        <w:pStyle w:val="Heading2"/>
        <w:rPr/>
      </w:pPr>
      <w:bookmarkStart w:id="5" w:name="results"/>
      <w:bookmarkEnd w:id="5"/>
      <w:r>
        <w:rPr/>
        <w:t>Results</w:t>
      </w:r>
    </w:p>
    <w:p>
      <w:pPr>
        <w:pStyle w:val="FirstParagraph"/>
        <w:spacing w:lineRule="auto" w:line="480"/>
        <w:rPr/>
      </w:pPr>
      <w:r>
        <w:rPr/>
        <w:t>To understand the representation of women, we compared the proportion of women in each academic role. At the trainee level, more than half of students and postdoctoral fellows were women. That dropped to 46.77% of faculty hosts and 38.73% of the invited speakers (Fig. 1A). Of 27 lectureships over the five year period, 37.04% were awarded to women.</w:t>
      </w:r>
    </w:p>
    <w:p>
      <w:pPr>
        <w:pStyle w:val="TextBody"/>
        <w:spacing w:lineRule="auto" w:line="480"/>
        <w:rPr/>
      </w:pPr>
      <w:r>
        <w:rPr/>
        <w:t>Our analysis identified an over-representation of Caucasian individuals as hosting faculty and invited speakers (80% each), relative to the proportion of Caucasian trainees, which was 55% (Fig. 1B). We also observed declines in the representation of HURM and NCNH faculty and speakers relative to the trainees (Fig 1B). HURM trainees made up 11% of the department, on track with the 11% of U.S. microbiology and immunology doctorates awarded in 2017 (51). However, only 8.5% of invited speakers, and none of the hosting faculty, were HURM scientists. NCNH trainees were 34% of department students and postdocs (versus 22% of U.S. microbiology and immunology doctorates in 2017), but only 19% of hosting faculty and 10.5% of invited speakers (51).</w:t>
      </w:r>
    </w:p>
    <w:p>
      <w:pPr>
        <w:pStyle w:val="TextBody"/>
        <w:spacing w:lineRule="auto" w:line="480"/>
        <w:rPr/>
      </w:pPr>
      <w:r>
        <w:rPr/>
        <w:t>The more prestigious invited speaker lectureships were also dominated by Caucasian scientists, who comprised 81.48% of those awarded (Fig. 1C). HURM and NCNH scientists were awarded 3 and 2 lectureships, respectively. Because the intersection of identities can compound biases and outcomes, we further examined the lectureships by gender and race/ethnicity status (52). Caucasian men and women accounted for 44.44% and 37.04% of the lectureships, respectively. Just 18.52% of lectureships were held by non-Caucasian men while none were held by non-Caucasian women (Fig. 1D).</w:t>
      </w:r>
    </w:p>
    <w:p>
      <w:pPr>
        <w:pStyle w:val="Heading2"/>
        <w:rPr/>
      </w:pPr>
      <w:bookmarkStart w:id="6" w:name="discussion"/>
      <w:bookmarkEnd w:id="6"/>
      <w:r>
        <w:rPr/>
        <w:t>Discussion</w:t>
      </w:r>
    </w:p>
    <w:p>
      <w:pPr>
        <w:pStyle w:val="FirstParagraph"/>
        <w:spacing w:lineRule="auto" w:line="480"/>
        <w:rPr/>
      </w:pPr>
      <w:r>
        <w:rPr/>
        <w:t>This study found that the proportion of HURM and NCNH invited speakers were under-representative of the trainee populations for each group. Additionally, within the last 5 years, no HURM or NCNH woman was awarded a lectureship, despite that in 2017 non-Caucasians were 30% of the professoriate (53). This means that the department is not providing non-Caucasian trainees with adequate representation of successful scientists and failing to support an inclusive environment in terms of visual faculty representation. We also found that the proportion of women as faculty hosts and speakers in our study population is equivalent to global estimates that 40% of microbiologists are women, though women only represent about 30% of academic biomedical faculty (7, 54). Women are also over-represented as graduate students and postdoctoral fellows in this department. Overall, Caucasian scientists are over-represented as host faculty and invited speakers, compared to their presence as trainees, particularly when lectureships were considered.</w:t>
      </w:r>
    </w:p>
    <w:p>
      <w:pPr>
        <w:pStyle w:val="TextBody"/>
        <w:spacing w:lineRule="auto" w:line="480"/>
        <w:rPr/>
      </w:pPr>
      <w:r>
        <w:rPr/>
        <w:t>We have not been able to identify any publications examining scientific speaker diversity beyond gender (28). This seems to be the first, which is concerning since conclusions drawn from gender-based studies are often framed, and considered, to be applicable to other marginalized groups (e.g., HURM). For instance, that African-American and Caucasian women benefit equally from the same policy change. This is a flawed assumption (55). While there is no doubt some overlap, each group remains marginalized due to a unique complex set of factors that cannot always be solved by gender-based solutions. The historical exclusion of HURMs by U.S. institutions means that they have a particular responsibility to improving the academic experience for these populations (23). We therefore call on U.S. institutions to apply intersectional framing to their discussions and research.</w:t>
      </w:r>
    </w:p>
    <w:p>
      <w:pPr>
        <w:pStyle w:val="TextBody"/>
        <w:spacing w:lineRule="auto" w:line="480"/>
        <w:rPr/>
      </w:pPr>
      <w:r>
        <w:rPr/>
        <w:t>Departments have different processes and criteria for selecting invited speakers, but it is a matter of pride to bring the best scientists possible. The barriers to achieving faculty status for HURMs, Caucasian women, and NCNH may also impact their speaking invitations. For instance, the perceived prioritization and commitments of women to family over work may cause faculty to doubt their acceptance of a speaking invitation, despite the prestigious nature of these invitations and evidence that men and women accept at similar rates (28, 56). As a result, the faculty member may invite a different colleague who they feel is more likely to agree (and is a man). It may also be that the definition of “best” poses a problem to under-represented and under-served groups (e.g., women, HURM, and Asian) who are held to stricter competency standards (13, 14). Some departments may only invite tenured faculty, which severely limits the number of potential speakers who are Caucasian women or non-Caucasian. Yet, another scenario is that pre-tenure faculty members invite prestigious, tenured faculty in their field to network and secure letters for their own tenure package. The increased burden of women and non-Caucasian scientists to prove competency decreases their likelihood to be considered for either tenure or as possible source of tenure letters. In particular, the proportion of HURM faculty at the Assistant and Associate Professor level is currently higher than at Full Professor so it will be difficult to increase speaker diversity if early-career researchers are not being considered (57). Even when HURM speaker rates match the proportion of HURM faculty employment, HURM trainees will be represented at a significantly higher proportion. We argue that inclusion of marginalized faculty in seminar series is an important factor to increasing their representation among Associate and Full Professors. It is just one aspect of larger institutional change that is needed, but one that will benefit trainee experiences and the CVs of faculty from marginalized groups (58).</w:t>
      </w:r>
    </w:p>
    <w:p>
      <w:pPr>
        <w:pStyle w:val="TextBody"/>
        <w:spacing w:lineRule="auto" w:line="480"/>
        <w:rPr/>
      </w:pPr>
      <w:r>
        <w:rPr/>
        <w:t>We recognize that our proxy demographics are a limitation of the analysis and want to acknowledge that biological sex (male/female) is not always equivalent to the gender that an individual presents as (man/woman), which is also distinct from the gender(s) that an individual self-identifies as. We also want to acknowledge that there are many other identities that are not captured in this limited analysis and that our personal implicit biases may have impacted our assignment of demographics. While our pilot study combined 5 years worth of seminars, our n is still quite low and we did not have other departments for comparison. Consequently, our results can not be generalized to other departments, fields, or universities. Another limitation to looking at a single department is that trainees may interact with faculty from many other departments, depending on their research and interests. Therefore, the individual experience of representation would vary by trainee. Future research needs to consider multiple departments, universities, and/or fields to bolster generalizability. There is a paucity of research on speaker identities other than their gender, so this also needs to be addressed in future studies. However, we caution that representation is a shallow metric on which a single-minded focus can cause more harm than help (25). We recommend that future research also survey trainee and speaker experiences and trainee participation in seminar series to better understand the dynamics at play.</w:t>
      </w:r>
    </w:p>
    <w:p>
      <w:pPr>
        <w:pStyle w:val="Heading2"/>
        <w:rPr/>
      </w:pPr>
      <w:bookmarkStart w:id="7" w:name="instituting-policy-change"/>
      <w:bookmarkEnd w:id="7"/>
      <w:r>
        <w:rPr/>
        <w:t>Instituting Policy Change</w:t>
      </w:r>
    </w:p>
    <w:p>
      <w:pPr>
        <w:pStyle w:val="FirstParagraph"/>
        <w:spacing w:lineRule="auto" w:line="480"/>
        <w:rPr/>
      </w:pPr>
      <w:r>
        <w:rPr/>
        <w:t>In an attempt to promote inclusion within the Department of Microbiology and Immunology at the University of Michigan, these data were presented to faculty members and the department chair. Since trainee demographics were not represented by the seminar speaker demographics over the past 5 years, we proposed a policy change as to how seminar speakers were being invited (Table 1). One suggestion was to switch from faculty-invited to lab-invited speakers to allow trainees to choose a speaker that best represented themselves. This is easy to implement as it does not change the overall structure of the department’s seminar series; however, for this same reason it may not have a significant impact on the diversity of invited speakers. Trainees may be pressured to invite the top individuals in their sub-field or may be influenced by the same unconscious biases as faculty members. This idea can be expanded by increasing the number of trainee-invited speakers and varying the trainee group that extend invitations, for instance by training program, career interest, and/or trainees and faculty in an identity-affinity group. Invitations from trainees are often seen as an honor by potential seminar speakers and nominating as a group may decrease the pressure to invite particular sub-fields or ranks.</w:t>
      </w:r>
    </w:p>
    <w:p>
      <w:pPr>
        <w:pStyle w:val="TextBody"/>
        <w:spacing w:lineRule="auto" w:line="480"/>
        <w:rPr/>
      </w:pPr>
      <w:r>
        <w:rPr/>
        <w:t>We also used this opportunity to begin a conversation about the purpose of seminar speakers. Seminar speakers are sometimes invited to highlight their latest high-impact paper or to share the arc of discoveries they have made over several years of their career. While both are certainly worthwhile, there are other benefits to be gained from interacting with seminar speakers such as how to apply new techniques and how research is framed outside research-focused universities (Table 1). Thinking more broadly about what material is valuable during a seminar series may lead to more speakers from under-represented and under-served backgrounds, as well as more diversity of career paths. For some institutions, these suggestions represent more of a structural change to the departmental seminar series as speakers focusing on techniques or from non-research-intensive universities are usually invited as part of a professional development series. If these changes are to be implemented, many members of the department must agree to the value of including these seminars in the main departmental seminar series and these expectations must be clearly communicated by the leadership (Table 1). Departmental leadership can also ask individuals and groups to consider the unconscious biases that may be impacting their own speaker nominee lists to combat some of the barriers to inviting diverse speakers.</w:t>
      </w:r>
    </w:p>
    <w:p>
      <w:pPr>
        <w:pStyle w:val="TextBody"/>
        <w:spacing w:lineRule="auto" w:line="480"/>
        <w:rPr/>
      </w:pPr>
      <w:r>
        <w:rPr/>
        <w:t>Presented with these ideas, several members of the Department of Microbiology and Immunology at the University of Michigan expressed interest in specific resources they might use to identify individuals from diverse identities, careers, and institutions. One suggestion is to use resources that are being organized by professional societies such as the American Society for Microbiology (ASM) and the Society for Advancing Chicanos/Hispanics &amp; Native Americans in Science (SACNAS) (Table 1). We also chose to develop “Diversify” resources for the microbiology and immunology fields that provide a list of scientists from under-represented and under-served groups, that is not associated with a specific professional society. More information on the type of resources and how to establish a Diversify list is below. Using list resources like those available from professional societies as well as our “Diversify” resources are particularly useful as social science research has shown that the human brain is much better at recognizing and using information (such as a strong scientific speaker) from a list than it is at recalling the same information from memory (59, 60).</w:t>
      </w:r>
    </w:p>
    <w:p>
      <w:pPr>
        <w:pStyle w:val="TextBody"/>
        <w:spacing w:lineRule="auto" w:line="480"/>
        <w:rPr/>
      </w:pPr>
      <w:r>
        <w:rPr/>
        <w:t>We caution, however, that it is not enough to invite speakers from diverse identites`. An inclusive environment must be built within the department. Start by inviting all speakers to spend a few minutes describing their personal science journey and providing time for trainees to engage with the speaker. Trainee-speaker interactions can be encouraged by ensuring that trainees are the first to ask questions at the seminar’s conclusion and by scheduling a dedicated meeting time for trainees. As speaker schedules are being designed, departments should consider how they can foster an inclusive atmosphere during the speaker visits. Speakers should be asked prior to their visit if they have any dietary, movement, or other restrictions that should be accommodated during the visit. The identities of individuals the speaker is meeting with during their visit may also need to be considered; this is not to say that all identities of a speaker should be matched on their schedule or that a HURM speaker must have a meeting a HURM faculty member, but take care to ensure that speakers are meeting with faculty that reflect the diversity of thought and identity in the department. If a portion of the department is consistently not represented on speakers’ schedules (or extending invitations) this may reflect an opportunity for increased inclusivity in the department. Finally, speakers should be provided with ample opportunity to request meetings, not only with faculty but also with student groups or campus administrators who share similar interests. Through these steps departments can increase the diversity of speakers invited to their seminars while also increasing the impact of the seminar speakers.</w:t>
      </w:r>
    </w:p>
    <w:p>
      <w:pPr>
        <w:pStyle w:val="Heading2"/>
        <w:rPr/>
      </w:pPr>
      <w:bookmarkStart w:id="8" w:name="building-diversify"/>
      <w:bookmarkEnd w:id="8"/>
      <w:r>
        <w:rPr/>
        <w:t>Building Diversify</w:t>
      </w:r>
    </w:p>
    <w:p>
      <w:pPr>
        <w:pStyle w:val="FirstParagraph"/>
        <w:spacing w:lineRule="auto" w:line="480"/>
        <w:rPr/>
      </w:pPr>
      <w:r>
        <w:rPr/>
        <w:t>Motivated by a lack of resources to identify scientists who are members of marginalized and/or historically under-served groups, and inspired by resources in other fields–DiversifyEEB and DiversifyChemistry–we created DiversifyMicrobiology and DiversifyImmunology (61–64). These resources are a tool for symposium organizers, award committees, search committees, and other scientists to identify individuals to diversify their pools. Additionally, we have built these as a template to be used by other fields and organizations that wish to create their own lists. Since these lists are compiled by self-nomination, we can ensure that only scientists comfortable revealing their marginalized identities are included.</w:t>
      </w:r>
    </w:p>
    <w:p>
      <w:pPr>
        <w:pStyle w:val="TextBody"/>
        <w:spacing w:lineRule="auto" w:line="480"/>
        <w:rPr/>
      </w:pPr>
      <w:r>
        <w:rPr/>
        <w:t>The self-nomination form is a Google Form with entries logged in a private Google Sheet. This form is embedded within the website and can be linked to directly. The use of a Google Forms allows us to maintain this database at no cost and gives us the flexibility to add questions or change response options without disrupting previous responses. Entries are logged in a private spreadsheet so that entries can be screened before being added to the public database. This screening includes two steps: confirming that each person is listed in the database only once and that any submitted website is a personal, professional website. If both criteria are met, a new entry is added to the public database spreadsheet. If a person is already listed in the database, their information is updated to the most recent submission.</w:t>
      </w:r>
    </w:p>
    <w:p>
      <w:pPr>
        <w:pStyle w:val="TextBody"/>
        <w:spacing w:lineRule="auto" w:line="480"/>
        <w:rPr/>
      </w:pPr>
      <w:r>
        <w:rPr/>
        <w:t>This public spreadsheet is embedded in the website and can be opened separately as a locked (uneditable) Google Sheet, allowing the list to be easily searched. We have chosen to list individuals’ academic information first in the spreadsheet to encourage a focus on academic achievement rather than tokenization of marginalized identities. Currently the database lists individuals in order of self-nomination but future versions will be re-sorted based on name and/or academic field to varying the individuals who may receive more attention for simply being at the top of the list.</w:t>
      </w:r>
    </w:p>
    <w:p>
      <w:pPr>
        <w:pStyle w:val="TextBody"/>
        <w:spacing w:lineRule="auto" w:line="480"/>
        <w:rPr/>
      </w:pPr>
      <w:r>
        <w:rPr/>
        <w:t>The website provides an interface to the Google forms and spreadsheets with template pages for viewing the list, adding a name to the list, and finding additional resources. Importantly, our website creation tool is hosted for free by GitHub, which provides a free website for each GitHub organization. Basic tools and skills required to set up a Diversify site include knowledge of, or experience with, the version control tool git, the web-tool GitHub, and a text editor. A tutorial in the DiversifyMicrobiology repository on GitHub provides links to these resources and instructions for adapting the tool to your own field (Table 1) (63). We caution creators of Diversify lists that the data voluntarily submitted to these lists is not eligible for study. IRB approval must be obtained prior to launching the list if that is a goal.</w:t>
      </w:r>
    </w:p>
    <w:p>
      <w:pPr>
        <w:pStyle w:val="Heading2"/>
        <w:rPr/>
      </w:pPr>
      <w:bookmarkStart w:id="9" w:name="conclusion"/>
      <w:bookmarkEnd w:id="9"/>
      <w:r>
        <w:rPr/>
        <w:t>Conclusion</w:t>
      </w:r>
    </w:p>
    <w:p>
      <w:pPr>
        <w:pStyle w:val="FirstParagraph"/>
        <w:spacing w:lineRule="auto" w:line="480"/>
        <w:rPr/>
      </w:pPr>
      <w:r>
        <w:rPr/>
        <w:t>To increase the retention of Caucasian women, HURM and NCNH trainees in the biomedical sciences, they must also be represented as experts. However, the invited speaker diversity at one department does not represent the diversity of trainees. To facilitate the identification and recruitment of individuals in these, and other, under-served groups, we have built a tool to create self-nominated, field-specific lists.</w:t>
      </w:r>
      <w:r>
        <w:br w:type="page"/>
      </w:r>
    </w:p>
    <w:p>
      <w:pPr>
        <w:pStyle w:val="Heading2"/>
        <w:spacing w:lineRule="auto" w:line="480"/>
        <w:rPr/>
      </w:pPr>
      <w:bookmarkStart w:id="10" w:name="acknowledgments"/>
      <w:bookmarkEnd w:id="10"/>
      <w:r>
        <w:rPr/>
        <w:t>Acknowledgments</w:t>
      </w:r>
    </w:p>
    <w:p>
      <w:pPr>
        <w:pStyle w:val="FirstParagraph"/>
        <w:spacing w:lineRule="auto" w:line="480"/>
        <w:rPr/>
      </w:pPr>
      <w:r>
        <w:rPr/>
        <w:t>We thank Drs. Beth Moore and Harry Mobley and the Department of Microbiology &amp; Immunology, University of Michigan for their input and financial support that enabled publication of our manuscript. We thank Bonnie Krey and former speaker series coordinators Drs. Nicole Koropatkin and Kathy Spindler for providing compiled invited speaker data. We would also like to acknowledge and thank Nick Lesniak and Dr. Ariangela Kozick for their comments and suggestions.</w:t>
      </w:r>
    </w:p>
    <w:p>
      <w:pPr>
        <w:pStyle w:val="Heading2"/>
        <w:spacing w:lineRule="auto" w:line="480"/>
        <w:rPr/>
      </w:pPr>
      <w:bookmarkStart w:id="11" w:name="author-contributions"/>
      <w:bookmarkEnd w:id="11"/>
      <w:r>
        <w:rPr/>
        <w:t>Author Contributions</w:t>
      </w:r>
    </w:p>
    <w:p>
      <w:pPr>
        <w:pStyle w:val="FirstParagraph"/>
        <w:spacing w:lineRule="auto" w:line="480"/>
        <w:rPr/>
      </w:pPr>
      <w:r>
        <w:rPr/>
        <w:t>A.K.H. collected the data, inferred demographics, analyzed the data, created the website, and wrote the methods and results. R.M.P. created the Google lists, forms, and website content and the description of their maintenance. J.L. wrote the introduction and provided conceptual advice. A.K.H. and J.L facilitated the policy change to the UM Department of Microbiology and Immunology. All authors contributed to preparing the final manuscript.</w:t>
      </w:r>
    </w:p>
    <w:p>
      <w:pPr>
        <w:pStyle w:val="Heading2"/>
        <w:spacing w:lineRule="auto" w:line="480"/>
        <w:rPr/>
      </w:pPr>
      <w:bookmarkStart w:id="12" w:name="code-and-data-availability"/>
      <w:bookmarkEnd w:id="12"/>
      <w:r>
        <w:rPr/>
        <w:t>Code and data availability</w:t>
      </w:r>
    </w:p>
    <w:p>
      <w:pPr>
        <w:pStyle w:val="FirstParagraph"/>
        <w:spacing w:lineRule="auto" w:line="480"/>
        <w:rPr/>
      </w:pPr>
      <w:r>
        <w:rPr/>
        <w:t xml:space="preserve">The anonymized data, code for all analysis steps, and an Rmarkdown version of this manuscript is available at </w:t>
      </w:r>
      <w:hyperlink r:id="rId3">
        <w:r>
          <w:rPr>
            <w:rStyle w:val="InternetLink"/>
          </w:rPr>
          <w:t>https://github.com/akhagan/Hagan_SpeakerDiversity_JMBE_2019</w:t>
        </w:r>
      </w:hyperlink>
      <w:r>
        <w:rPr/>
        <w:t xml:space="preserve">. Template and complete instructions for generating a field-specific Diversity website are available at </w:t>
      </w:r>
      <w:hyperlink r:id="rId4">
        <w:r>
          <w:rPr>
            <w:rStyle w:val="InternetLink"/>
          </w:rPr>
          <w:t>https://github.com/diversifymicrobiology/DiversifyMicrobiology.github.io/</w:t>
        </w:r>
      </w:hyperlink>
      <w:r>
        <w:rPr/>
        <w:t>.</w:t>
      </w:r>
      <w:r>
        <w:br w:type="page"/>
      </w:r>
    </w:p>
    <w:p>
      <w:pPr>
        <w:pStyle w:val="Heading2"/>
        <w:spacing w:lineRule="auto" w:line="480"/>
        <w:rPr/>
      </w:pPr>
      <w:bookmarkStart w:id="13" w:name="references"/>
      <w:bookmarkEnd w:id="13"/>
      <w:r>
        <w:rPr/>
        <w:t>References</w:t>
      </w:r>
    </w:p>
    <w:p>
      <w:pPr>
        <w:pStyle w:val="FirstParagraph"/>
        <w:spacing w:lineRule="auto" w:line="480"/>
        <w:rPr/>
      </w:pPr>
      <w:r>
        <w:rPr/>
        <w:t xml:space="preserve">1. </w:t>
      </w:r>
      <w:r>
        <w:rPr>
          <w:b/>
        </w:rPr>
        <w:t>Martinez LR</w:t>
      </w:r>
      <w:r>
        <w:rPr/>
        <w:t xml:space="preserve">, </w:t>
      </w:r>
      <w:r>
        <w:rPr>
          <w:b/>
        </w:rPr>
        <w:t>Boucaud DW</w:t>
      </w:r>
      <w:r>
        <w:rPr/>
        <w:t xml:space="preserve">, </w:t>
      </w:r>
      <w:r>
        <w:rPr>
          <w:b/>
        </w:rPr>
        <w:t>Casadevall A</w:t>
      </w:r>
      <w:r>
        <w:rPr/>
        <w:t xml:space="preserve">, </w:t>
      </w:r>
      <w:r>
        <w:rPr>
          <w:b/>
        </w:rPr>
        <w:t>August A</w:t>
      </w:r>
      <w:r>
        <w:rPr/>
        <w:t xml:space="preserve">. 2018. Factors contributing to the success of NIH-designated underrepresented minorities in academic and nonacademic research positions. CBELife Sciences Education </w:t>
      </w:r>
      <w:r>
        <w:rPr>
          <w:b/>
        </w:rPr>
        <w:t>17</w:t>
      </w:r>
      <w:r>
        <w:rPr/>
        <w:t>:ar32. doi:</w:t>
      </w:r>
      <w:hyperlink r:id="rId5">
        <w:r>
          <w:rPr>
            <w:rStyle w:val="InternetLink"/>
          </w:rPr>
          <w:t>10.1187/cbe.16-09-0287</w:t>
        </w:r>
      </w:hyperlink>
      <w:r>
        <w:rPr/>
        <w:t>.</w:t>
      </w:r>
    </w:p>
    <w:p>
      <w:pPr>
        <w:pStyle w:val="TextBody"/>
        <w:spacing w:lineRule="auto" w:line="480"/>
        <w:rPr/>
      </w:pPr>
      <w:r>
        <w:rPr/>
        <w:t xml:space="preserve">2. </w:t>
      </w:r>
      <w:r>
        <w:rPr>
          <w:b/>
        </w:rPr>
        <w:t>Allen-Ramdial S-AA</w:t>
      </w:r>
      <w:r>
        <w:rPr/>
        <w:t xml:space="preserve">, </w:t>
      </w:r>
      <w:r>
        <w:rPr>
          <w:b/>
        </w:rPr>
        <w:t>Campbell AG</w:t>
      </w:r>
      <w:r>
        <w:rPr/>
        <w:t xml:space="preserve">. 2014. Reimagining the pipeline: Advancing STEM diversity, persistence, and success. BioScience </w:t>
      </w:r>
      <w:r>
        <w:rPr>
          <w:b/>
        </w:rPr>
        <w:t>64</w:t>
      </w:r>
      <w:r>
        <w:rPr/>
        <w:t>:612–618. doi:</w:t>
      </w:r>
      <w:hyperlink r:id="rId6">
        <w:r>
          <w:rPr>
            <w:rStyle w:val="InternetLink"/>
          </w:rPr>
          <w:t>10.1093/biosci/biu076</w:t>
        </w:r>
      </w:hyperlink>
      <w:r>
        <w:rPr/>
        <w:t>.</w:t>
      </w:r>
    </w:p>
    <w:p>
      <w:pPr>
        <w:pStyle w:val="TextBody"/>
        <w:spacing w:lineRule="auto" w:line="480"/>
        <w:rPr/>
      </w:pPr>
      <w:r>
        <w:rPr/>
        <w:t xml:space="preserve">3. </w:t>
      </w:r>
      <w:r>
        <w:rPr>
          <w:b/>
        </w:rPr>
        <w:t>Fang D</w:t>
      </w:r>
      <w:r>
        <w:rPr/>
        <w:t xml:space="preserve">. 2000. Racial and ethnic disparities in faculty promotion in academic medicine. JAMA </w:t>
      </w:r>
      <w:r>
        <w:rPr>
          <w:b/>
        </w:rPr>
        <w:t>284</w:t>
      </w:r>
      <w:r>
        <w:rPr/>
        <w:t>:1085. doi:</w:t>
      </w:r>
      <w:hyperlink r:id="rId7">
        <w:r>
          <w:rPr>
            <w:rStyle w:val="InternetLink"/>
          </w:rPr>
          <w:t>10.1001/jama.284.9.1085</w:t>
        </w:r>
      </w:hyperlink>
      <w:r>
        <w:rPr/>
        <w:t>.</w:t>
      </w:r>
    </w:p>
    <w:p>
      <w:pPr>
        <w:pStyle w:val="TextBody"/>
        <w:spacing w:lineRule="auto" w:line="480"/>
        <w:rPr/>
      </w:pPr>
      <w:r>
        <w:rPr/>
        <w:t xml:space="preserve">4. </w:t>
      </w:r>
      <w:r>
        <w:rPr>
          <w:b/>
        </w:rPr>
        <w:t>Gibbs KD</w:t>
      </w:r>
      <w:r>
        <w:rPr/>
        <w:t xml:space="preserve">, </w:t>
      </w:r>
      <w:r>
        <w:rPr>
          <w:b/>
        </w:rPr>
        <w:t>McGready J</w:t>
      </w:r>
      <w:r>
        <w:rPr/>
        <w:t xml:space="preserve">, </w:t>
      </w:r>
      <w:r>
        <w:rPr>
          <w:b/>
        </w:rPr>
        <w:t>Bennett JC</w:t>
      </w:r>
      <w:r>
        <w:rPr/>
        <w:t xml:space="preserve">, </w:t>
      </w:r>
      <w:r>
        <w:rPr>
          <w:b/>
        </w:rPr>
        <w:t>Griffin K</w:t>
      </w:r>
      <w:r>
        <w:rPr/>
        <w:t xml:space="preserve">. 2014. Biomedical science ph.D. career interest patterns by race/ethnicity and gender. PLoS ONE </w:t>
      </w:r>
      <w:r>
        <w:rPr>
          <w:b/>
        </w:rPr>
        <w:t>9</w:t>
      </w:r>
      <w:r>
        <w:rPr/>
        <w:t>:e114736. doi:</w:t>
      </w:r>
      <w:hyperlink r:id="rId8">
        <w:r>
          <w:rPr>
            <w:rStyle w:val="InternetLink"/>
          </w:rPr>
          <w:t>10.1371/journal.pone.0114736</w:t>
        </w:r>
      </w:hyperlink>
      <w:r>
        <w:rPr/>
        <w:t>.</w:t>
      </w:r>
    </w:p>
    <w:p>
      <w:pPr>
        <w:pStyle w:val="TextBody"/>
        <w:spacing w:lineRule="auto" w:line="480"/>
        <w:rPr/>
      </w:pPr>
      <w:r>
        <w:rPr/>
        <w:t xml:space="preserve">5. </w:t>
      </w:r>
      <w:r>
        <w:rPr>
          <w:b/>
        </w:rPr>
        <w:t>Meyers LC</w:t>
      </w:r>
      <w:r>
        <w:rPr/>
        <w:t xml:space="preserve">, </w:t>
      </w:r>
      <w:r>
        <w:rPr>
          <w:b/>
        </w:rPr>
        <w:t>Brown AM</w:t>
      </w:r>
      <w:r>
        <w:rPr/>
        <w:t xml:space="preserve">, </w:t>
      </w:r>
      <w:r>
        <w:rPr>
          <w:b/>
        </w:rPr>
        <w:t>Moneta-Koehler L</w:t>
      </w:r>
      <w:r>
        <w:rPr/>
        <w:t xml:space="preserve">, </w:t>
      </w:r>
      <w:r>
        <w:rPr>
          <w:b/>
        </w:rPr>
        <w:t>Chalkley R</w:t>
      </w:r>
      <w:r>
        <w:rPr/>
        <w:t xml:space="preserve">. 2018. Survey of checkpoints along the pathway to diverse biomedical research faculty. PLOS ONE </w:t>
      </w:r>
      <w:r>
        <w:rPr>
          <w:b/>
        </w:rPr>
        <w:t>13</w:t>
      </w:r>
      <w:r>
        <w:rPr/>
        <w:t>:e0190606. doi:</w:t>
      </w:r>
      <w:hyperlink r:id="rId9">
        <w:r>
          <w:rPr>
            <w:rStyle w:val="InternetLink"/>
          </w:rPr>
          <w:t>10.1371/journal.pone.0190606</w:t>
        </w:r>
      </w:hyperlink>
      <w:r>
        <w:rPr/>
        <w:t>.</w:t>
      </w:r>
    </w:p>
    <w:p>
      <w:pPr>
        <w:pStyle w:val="TextBody"/>
        <w:spacing w:lineRule="auto" w:line="480"/>
        <w:rPr/>
      </w:pPr>
      <w:r>
        <w:rPr/>
        <w:t xml:space="preserve">6. </w:t>
      </w:r>
      <w:r>
        <w:rPr>
          <w:b/>
        </w:rPr>
        <w:t>National Center for Science and Engineering Statistics</w:t>
      </w:r>
      <w:r>
        <w:rPr/>
        <w:t>. 2014. Women, minorities, and persons with disabilities in science and engineering. National Science Foundation, Alexandria, VA.</w:t>
      </w:r>
    </w:p>
    <w:p>
      <w:pPr>
        <w:pStyle w:val="TextBody"/>
        <w:spacing w:lineRule="auto" w:line="480"/>
        <w:rPr/>
      </w:pPr>
      <w:r>
        <w:rPr/>
        <w:t xml:space="preserve">7. </w:t>
      </w:r>
      <w:r>
        <w:rPr>
          <w:b/>
        </w:rPr>
        <w:t>Jena AB</w:t>
      </w:r>
      <w:r>
        <w:rPr/>
        <w:t xml:space="preserve">, </w:t>
      </w:r>
      <w:r>
        <w:rPr>
          <w:b/>
        </w:rPr>
        <w:t>Khullar D</w:t>
      </w:r>
      <w:r>
        <w:rPr/>
        <w:t xml:space="preserve">, </w:t>
      </w:r>
      <w:r>
        <w:rPr>
          <w:b/>
        </w:rPr>
        <w:t>Ho O</w:t>
      </w:r>
      <w:r>
        <w:rPr/>
        <w:t xml:space="preserve">, </w:t>
      </w:r>
      <w:r>
        <w:rPr>
          <w:b/>
        </w:rPr>
        <w:t>Olenski AR</w:t>
      </w:r>
      <w:r>
        <w:rPr/>
        <w:t xml:space="preserve">, </w:t>
      </w:r>
      <w:r>
        <w:rPr>
          <w:b/>
        </w:rPr>
        <w:t>Blumenthal DM</w:t>
      </w:r>
      <w:r>
        <w:rPr/>
        <w:t xml:space="preserve">. 2015. Sex differences in academic rank in US medical schools in 2014. JAMA </w:t>
      </w:r>
      <w:r>
        <w:rPr>
          <w:b/>
        </w:rPr>
        <w:t>314</w:t>
      </w:r>
      <w:r>
        <w:rPr/>
        <w:t>:1149. doi:</w:t>
      </w:r>
      <w:hyperlink r:id="rId10">
        <w:r>
          <w:rPr>
            <w:rStyle w:val="InternetLink"/>
          </w:rPr>
          <w:t>10.1001/jama.2015.10680</w:t>
        </w:r>
      </w:hyperlink>
      <w:r>
        <w:rPr/>
        <w:t>.</w:t>
      </w:r>
    </w:p>
    <w:p>
      <w:pPr>
        <w:pStyle w:val="TextBody"/>
        <w:spacing w:lineRule="auto" w:line="480"/>
        <w:rPr/>
      </w:pPr>
      <w:r>
        <w:rPr/>
        <w:t xml:space="preserve">8. </w:t>
      </w:r>
      <w:r>
        <w:rPr>
          <w:b/>
        </w:rPr>
        <w:t>Rotbart HA</w:t>
      </w:r>
      <w:r>
        <w:rPr/>
        <w:t xml:space="preserve">, </w:t>
      </w:r>
      <w:r>
        <w:rPr>
          <w:b/>
        </w:rPr>
        <w:t>McMillen D</w:t>
      </w:r>
      <w:r>
        <w:rPr/>
        <w:t xml:space="preserve">, </w:t>
      </w:r>
      <w:r>
        <w:rPr>
          <w:b/>
        </w:rPr>
        <w:t>Taussig H</w:t>
      </w:r>
      <w:r>
        <w:rPr/>
        <w:t xml:space="preserve">, </w:t>
      </w:r>
      <w:r>
        <w:rPr>
          <w:b/>
        </w:rPr>
        <w:t>Daniels SR</w:t>
      </w:r>
      <w:r>
        <w:rPr/>
        <w:t xml:space="preserve">. 2012. Assessing gender equity in a large academic department of pediatrics. Academic Medicine </w:t>
      </w:r>
      <w:r>
        <w:rPr>
          <w:b/>
        </w:rPr>
        <w:t>87</w:t>
      </w:r>
      <w:r>
        <w:rPr/>
        <w:t>:98–104. doi:</w:t>
      </w:r>
      <w:hyperlink r:id="rId11">
        <w:r>
          <w:rPr>
            <w:rStyle w:val="InternetLink"/>
          </w:rPr>
          <w:t>10.1097/acm.0b013e31823be028</w:t>
        </w:r>
      </w:hyperlink>
      <w:r>
        <w:rPr/>
        <w:t>.</w:t>
      </w:r>
    </w:p>
    <w:p>
      <w:pPr>
        <w:pStyle w:val="TextBody"/>
        <w:spacing w:lineRule="auto" w:line="480"/>
        <w:rPr/>
      </w:pPr>
      <w:r>
        <w:rPr/>
        <w:t xml:space="preserve">9. </w:t>
      </w:r>
      <w:r>
        <w:rPr>
          <w:b/>
        </w:rPr>
        <w:t>Coe IR</w:t>
      </w:r>
      <w:r>
        <w:rPr/>
        <w:t xml:space="preserve">, </w:t>
      </w:r>
      <w:r>
        <w:rPr>
          <w:b/>
        </w:rPr>
        <w:t>Wiley R</w:t>
      </w:r>
      <w:r>
        <w:rPr/>
        <w:t xml:space="preserve">, </w:t>
      </w:r>
      <w:r>
        <w:rPr>
          <w:b/>
        </w:rPr>
        <w:t>Bekker L-G</w:t>
      </w:r>
      <w:r>
        <w:rPr/>
        <w:t xml:space="preserve">. 2019. Organisational best practices towards gender equality in science and medicine. The Lancet </w:t>
      </w:r>
      <w:r>
        <w:rPr>
          <w:b/>
        </w:rPr>
        <w:t>393</w:t>
      </w:r>
      <w:r>
        <w:rPr/>
        <w:t>:587–593. doi:</w:t>
      </w:r>
      <w:hyperlink r:id="rId12">
        <w:r>
          <w:rPr>
            <w:rStyle w:val="InternetLink"/>
          </w:rPr>
          <w:t>10.1016/s0140-6736(18)33188-x</w:t>
        </w:r>
      </w:hyperlink>
      <w:r>
        <w:rPr/>
        <w:t>.</w:t>
      </w:r>
    </w:p>
    <w:p>
      <w:pPr>
        <w:pStyle w:val="TextBody"/>
        <w:spacing w:lineRule="auto" w:line="480"/>
        <w:rPr/>
      </w:pPr>
      <w:r>
        <w:rPr/>
        <w:t xml:space="preserve">10. </w:t>
      </w:r>
      <w:r>
        <w:rPr>
          <w:b/>
        </w:rPr>
        <w:t>Firth M</w:t>
      </w:r>
      <w:r>
        <w:rPr/>
        <w:t xml:space="preserve">. 1982. Sex discrimination in job opportunities for women. Sex Roles </w:t>
      </w:r>
      <w:r>
        <w:rPr>
          <w:b/>
        </w:rPr>
        <w:t>8</w:t>
      </w:r>
      <w:r>
        <w:rPr/>
        <w:t>:891–901. doi:</w:t>
      </w:r>
      <w:hyperlink r:id="rId13">
        <w:r>
          <w:rPr>
            <w:rStyle w:val="InternetLink"/>
          </w:rPr>
          <w:t>10.1007/bf00287858</w:t>
        </w:r>
      </w:hyperlink>
      <w:r>
        <w:rPr/>
        <w:t>.</w:t>
      </w:r>
    </w:p>
    <w:p>
      <w:pPr>
        <w:pStyle w:val="TextBody"/>
        <w:spacing w:lineRule="auto" w:line="480"/>
        <w:rPr/>
      </w:pPr>
      <w:r>
        <w:rPr/>
        <w:t xml:space="preserve">11. </w:t>
      </w:r>
      <w:r>
        <w:rPr>
          <w:b/>
        </w:rPr>
        <w:t>Correll SJ</w:t>
      </w:r>
      <w:r>
        <w:rPr/>
        <w:t xml:space="preserve">, </w:t>
      </w:r>
      <w:r>
        <w:rPr>
          <w:b/>
        </w:rPr>
        <w:t>Benard S</w:t>
      </w:r>
      <w:r>
        <w:rPr/>
        <w:t xml:space="preserve">, </w:t>
      </w:r>
      <w:r>
        <w:rPr>
          <w:b/>
        </w:rPr>
        <w:t>Paik I</w:t>
      </w:r>
      <w:r>
        <w:rPr/>
        <w:t xml:space="preserve">. 2007. Getting a job: Is there a motherhood penalty? American Journal of Sociology </w:t>
      </w:r>
      <w:r>
        <w:rPr>
          <w:b/>
        </w:rPr>
        <w:t>112</w:t>
      </w:r>
      <w:r>
        <w:rPr/>
        <w:t>:1297–1339. doi:</w:t>
      </w:r>
      <w:hyperlink r:id="rId14">
        <w:r>
          <w:rPr>
            <w:rStyle w:val="InternetLink"/>
          </w:rPr>
          <w:t>10.1086/511799</w:t>
        </w:r>
      </w:hyperlink>
      <w:r>
        <w:rPr/>
        <w:t>.</w:t>
      </w:r>
    </w:p>
    <w:p>
      <w:pPr>
        <w:pStyle w:val="TextBody"/>
        <w:spacing w:lineRule="auto" w:line="480"/>
        <w:rPr/>
      </w:pPr>
      <w:r>
        <w:rPr/>
        <w:t xml:space="preserve">12. </w:t>
      </w:r>
      <w:r>
        <w:rPr>
          <w:b/>
        </w:rPr>
        <w:t>Fuegen K</w:t>
      </w:r>
      <w:r>
        <w:rPr/>
        <w:t xml:space="preserve">, </w:t>
      </w:r>
      <w:r>
        <w:rPr>
          <w:b/>
        </w:rPr>
        <w:t>Biernat M</w:t>
      </w:r>
      <w:r>
        <w:rPr/>
        <w:t xml:space="preserve">, </w:t>
      </w:r>
      <w:r>
        <w:rPr>
          <w:b/>
        </w:rPr>
        <w:t>Haines E</w:t>
      </w:r>
      <w:r>
        <w:rPr/>
        <w:t xml:space="preserve">, </w:t>
      </w:r>
      <w:r>
        <w:rPr>
          <w:b/>
        </w:rPr>
        <w:t>Deaux K</w:t>
      </w:r>
      <w:r>
        <w:rPr/>
        <w:t xml:space="preserve">. 2004. Mothers and fathers in the workplace: How gender and parental status influence judgments of job-related competence. Journal of Social Issues </w:t>
      </w:r>
      <w:r>
        <w:rPr>
          <w:b/>
        </w:rPr>
        <w:t>60</w:t>
      </w:r>
      <w:r>
        <w:rPr/>
        <w:t>:737–754. doi:</w:t>
      </w:r>
      <w:hyperlink r:id="rId15">
        <w:r>
          <w:rPr>
            <w:rStyle w:val="InternetLink"/>
          </w:rPr>
          <w:t>10.1111/j.0022-4537.2004.00383.x</w:t>
        </w:r>
      </w:hyperlink>
      <w:r>
        <w:rPr/>
        <w:t>.</w:t>
      </w:r>
    </w:p>
    <w:p>
      <w:pPr>
        <w:pStyle w:val="TextBody"/>
        <w:spacing w:lineRule="auto" w:line="480"/>
        <w:rPr/>
      </w:pPr>
      <w:r>
        <w:rPr/>
        <w:t xml:space="preserve">13. </w:t>
      </w:r>
      <w:r>
        <w:rPr>
          <w:b/>
        </w:rPr>
        <w:t>Blair-Loy M</w:t>
      </w:r>
      <w:r>
        <w:rPr/>
        <w:t xml:space="preserve">, </w:t>
      </w:r>
      <w:r>
        <w:rPr>
          <w:b/>
        </w:rPr>
        <w:t>Rogers L</w:t>
      </w:r>
      <w:r>
        <w:rPr/>
        <w:t xml:space="preserve">, </w:t>
      </w:r>
      <w:r>
        <w:rPr>
          <w:b/>
        </w:rPr>
        <w:t>Glaser D</w:t>
      </w:r>
      <w:r>
        <w:rPr/>
        <w:t xml:space="preserve">, </w:t>
      </w:r>
      <w:r>
        <w:rPr>
          <w:b/>
        </w:rPr>
        <w:t>Wong Y</w:t>
      </w:r>
      <w:r>
        <w:rPr/>
        <w:t xml:space="preserve">, </w:t>
      </w:r>
      <w:r>
        <w:rPr>
          <w:b/>
        </w:rPr>
        <w:t>Abraham D</w:t>
      </w:r>
      <w:r>
        <w:rPr/>
        <w:t xml:space="preserve">, </w:t>
      </w:r>
      <w:r>
        <w:rPr>
          <w:b/>
        </w:rPr>
        <w:t>Cosman P</w:t>
      </w:r>
      <w:r>
        <w:rPr/>
        <w:t xml:space="preserve">. 2017. Gender in engineering departments: Are there gender differences in interruptions of academic job talks? Social Sciences </w:t>
      </w:r>
      <w:r>
        <w:rPr>
          <w:b/>
        </w:rPr>
        <w:t>6</w:t>
      </w:r>
      <w:r>
        <w:rPr/>
        <w:t>:29. doi:</w:t>
      </w:r>
      <w:hyperlink r:id="rId16">
        <w:r>
          <w:rPr>
            <w:rStyle w:val="InternetLink"/>
          </w:rPr>
          <w:t>10.3390/socsci6010029</w:t>
        </w:r>
      </w:hyperlink>
      <w:r>
        <w:rPr/>
        <w:t>.</w:t>
      </w:r>
    </w:p>
    <w:p>
      <w:pPr>
        <w:pStyle w:val="TextBody"/>
        <w:spacing w:lineRule="auto" w:line="480"/>
        <w:rPr/>
      </w:pPr>
      <w:r>
        <w:rPr/>
        <w:t xml:space="preserve">14. </w:t>
      </w:r>
      <w:r>
        <w:rPr>
          <w:b/>
        </w:rPr>
        <w:t>National Research Council Policy and Global Affairs</w:t>
      </w:r>
      <w:r>
        <w:rPr/>
        <w:t xml:space="preserve">, </w:t>
      </w:r>
      <w:r>
        <w:rPr>
          <w:b/>
        </w:rPr>
        <w:t>Committee on Women in Science, Engineering, and Medicine</w:t>
      </w:r>
      <w:r>
        <w:rPr/>
        <w:t xml:space="preserve">, </w:t>
      </w:r>
      <w:r>
        <w:rPr>
          <w:b/>
        </w:rPr>
        <w:t>Committee on Advancing Institutional Transformation for Minority Women in Academia</w:t>
      </w:r>
      <w:r>
        <w:rPr/>
        <w:t xml:space="preserve">, </w:t>
      </w:r>
      <w:r>
        <w:rPr>
          <w:b/>
        </w:rPr>
        <w:t>Rapporteur KM</w:t>
      </w:r>
      <w:r>
        <w:rPr/>
        <w:t>. 2013. Seeking Solutions: Maximizing American Talent by Advancing Women of Color in Academia: Summary of a Conference. National Academies Press, Washington, D.C.</w:t>
      </w:r>
    </w:p>
    <w:p>
      <w:pPr>
        <w:pStyle w:val="TextBody"/>
        <w:spacing w:lineRule="auto" w:line="480"/>
        <w:rPr/>
      </w:pPr>
      <w:r>
        <w:rPr/>
        <w:t xml:space="preserve">15. </w:t>
      </w:r>
      <w:r>
        <w:rPr>
          <w:b/>
        </w:rPr>
        <w:t>McGee E</w:t>
      </w:r>
      <w:r>
        <w:rPr/>
        <w:t xml:space="preserve">. 2018. Black genius, asian fail: The detriment of stereotype lift and stereotype threat in high-achieving asian and black STEM students. AERA Open </w:t>
      </w:r>
      <w:r>
        <w:rPr>
          <w:b/>
        </w:rPr>
        <w:t>4</w:t>
      </w:r>
      <w:r>
        <w:rPr/>
        <w:t>:233285841881665. doi:</w:t>
      </w:r>
      <w:hyperlink r:id="rId17">
        <w:r>
          <w:rPr>
            <w:rStyle w:val="InternetLink"/>
          </w:rPr>
          <w:t>10.1177/2332858418816658</w:t>
        </w:r>
      </w:hyperlink>
      <w:r>
        <w:rPr/>
        <w:t>.</w:t>
      </w:r>
    </w:p>
    <w:p>
      <w:pPr>
        <w:pStyle w:val="TextBody"/>
        <w:spacing w:lineRule="auto" w:line="480"/>
        <w:rPr/>
      </w:pPr>
      <w:r>
        <w:rPr/>
        <w:t xml:space="preserve">16. </w:t>
      </w:r>
      <w:r>
        <w:rPr>
          <w:b/>
        </w:rPr>
        <w:t>Joan C. Williams RR Su Li</w:t>
      </w:r>
      <w:r>
        <w:rPr/>
        <w:t xml:space="preserve">, </w:t>
      </w:r>
      <w:r>
        <w:rPr>
          <w:b/>
        </w:rPr>
        <w:t>Finn P</w:t>
      </w:r>
      <w:r>
        <w:rPr/>
        <w:t>. 2016. Climate control: Gender and racial bias in engineering. University of California Hastings College of the Law, San Francisco, CA.</w:t>
      </w:r>
    </w:p>
    <w:p>
      <w:pPr>
        <w:pStyle w:val="TextBody"/>
        <w:spacing w:lineRule="auto" w:line="480"/>
        <w:rPr/>
      </w:pPr>
      <w:r>
        <w:rPr/>
        <w:t xml:space="preserve">17. </w:t>
      </w:r>
      <w:r>
        <w:rPr>
          <w:b/>
        </w:rPr>
        <w:t>Pololi L</w:t>
      </w:r>
      <w:r>
        <w:rPr/>
        <w:t xml:space="preserve">, </w:t>
      </w:r>
      <w:r>
        <w:rPr>
          <w:b/>
        </w:rPr>
        <w:t>Cooper LA</w:t>
      </w:r>
      <w:r>
        <w:rPr/>
        <w:t xml:space="preserve">, </w:t>
      </w:r>
      <w:r>
        <w:rPr>
          <w:b/>
        </w:rPr>
        <w:t>Carr P</w:t>
      </w:r>
      <w:r>
        <w:rPr/>
        <w:t xml:space="preserve">. 2010. Race, Disadvantage and Faculty Experiences in Academic Medicine. Journal of General Internal Medicine </w:t>
      </w:r>
      <w:r>
        <w:rPr>
          <w:b/>
        </w:rPr>
        <w:t>25</w:t>
      </w:r>
      <w:r>
        <w:rPr/>
        <w:t>:1363–1369. doi:</w:t>
      </w:r>
      <w:hyperlink r:id="rId18">
        <w:r>
          <w:rPr>
            <w:rStyle w:val="InternetLink"/>
          </w:rPr>
          <w:t>10.1007/s11606-010-1478-7</w:t>
        </w:r>
      </w:hyperlink>
      <w:r>
        <w:rPr/>
        <w:t>.</w:t>
      </w:r>
    </w:p>
    <w:p>
      <w:pPr>
        <w:pStyle w:val="TextBody"/>
        <w:spacing w:lineRule="auto" w:line="480"/>
        <w:rPr/>
      </w:pPr>
      <w:r>
        <w:rPr/>
        <w:t xml:space="preserve">18. </w:t>
      </w:r>
      <w:r>
        <w:rPr>
          <w:b/>
        </w:rPr>
        <w:t>Hassouneh D</w:t>
      </w:r>
      <w:r>
        <w:rPr/>
        <w:t xml:space="preserve">, </w:t>
      </w:r>
      <w:r>
        <w:rPr>
          <w:b/>
        </w:rPr>
        <w:t>Lutz KF</w:t>
      </w:r>
      <w:r>
        <w:rPr/>
        <w:t xml:space="preserve">, </w:t>
      </w:r>
      <w:r>
        <w:rPr>
          <w:b/>
        </w:rPr>
        <w:t>Beckett AK</w:t>
      </w:r>
      <w:r>
        <w:rPr/>
        <w:t xml:space="preserve">, </w:t>
      </w:r>
      <w:r>
        <w:rPr>
          <w:b/>
        </w:rPr>
        <w:t>Junkins EP</w:t>
      </w:r>
      <w:r>
        <w:rPr/>
        <w:t xml:space="preserve">, </w:t>
      </w:r>
      <w:r>
        <w:rPr>
          <w:b/>
        </w:rPr>
        <w:t>Horton LL</w:t>
      </w:r>
      <w:r>
        <w:rPr/>
        <w:t xml:space="preserve">. 2014. The experiences of underrepresented minority faculty in schools of medicine. Medical Education Online </w:t>
      </w:r>
      <w:r>
        <w:rPr>
          <w:b/>
        </w:rPr>
        <w:t>19</w:t>
      </w:r>
      <w:r>
        <w:rPr/>
        <w:t>:24768. doi:</w:t>
      </w:r>
      <w:hyperlink r:id="rId19">
        <w:r>
          <w:rPr>
            <w:rStyle w:val="InternetLink"/>
          </w:rPr>
          <w:t>10.3402/meo.v19.24768</w:t>
        </w:r>
      </w:hyperlink>
      <w:r>
        <w:rPr/>
        <w:t>.</w:t>
      </w:r>
    </w:p>
    <w:p>
      <w:pPr>
        <w:pStyle w:val="TextBody"/>
        <w:spacing w:lineRule="auto" w:line="480"/>
        <w:rPr/>
      </w:pPr>
      <w:r>
        <w:rPr/>
        <w:t xml:space="preserve">19. </w:t>
      </w:r>
      <w:r>
        <w:rPr>
          <w:b/>
        </w:rPr>
        <w:t>Herrmann SD</w:t>
      </w:r>
      <w:r>
        <w:rPr/>
        <w:t xml:space="preserve">, </w:t>
      </w:r>
      <w:r>
        <w:rPr>
          <w:b/>
        </w:rPr>
        <w:t>Adelman RM</w:t>
      </w:r>
      <w:r>
        <w:rPr/>
        <w:t xml:space="preserve">, </w:t>
      </w:r>
      <w:r>
        <w:rPr>
          <w:b/>
        </w:rPr>
        <w:t>Bodford JE</w:t>
      </w:r>
      <w:r>
        <w:rPr/>
        <w:t xml:space="preserve">, </w:t>
      </w:r>
      <w:r>
        <w:rPr>
          <w:b/>
        </w:rPr>
        <w:t>Graudejus O</w:t>
      </w:r>
      <w:r>
        <w:rPr/>
        <w:t xml:space="preserve">, </w:t>
      </w:r>
      <w:r>
        <w:rPr>
          <w:b/>
        </w:rPr>
        <w:t>Okun MA</w:t>
      </w:r>
      <w:r>
        <w:rPr/>
        <w:t xml:space="preserve">, </w:t>
      </w:r>
      <w:r>
        <w:rPr>
          <w:b/>
        </w:rPr>
        <w:t>Kwan VSY</w:t>
      </w:r>
      <w:r>
        <w:rPr/>
        <w:t xml:space="preserve">. 2016. The effects of a female role model on academic performance and persistence of women in STEM courses. Basic and Applied Social Psychology </w:t>
      </w:r>
      <w:r>
        <w:rPr>
          <w:b/>
        </w:rPr>
        <w:t>38</w:t>
      </w:r>
      <w:r>
        <w:rPr/>
        <w:t>:258–268. doi:</w:t>
      </w:r>
      <w:hyperlink r:id="rId20">
        <w:r>
          <w:rPr>
            <w:rStyle w:val="InternetLink"/>
          </w:rPr>
          <w:t>10.1080/01973533.2016.1209757</w:t>
        </w:r>
      </w:hyperlink>
      <w:r>
        <w:rPr/>
        <w:t>.</w:t>
      </w:r>
    </w:p>
    <w:p>
      <w:pPr>
        <w:pStyle w:val="TextBody"/>
        <w:spacing w:lineRule="auto" w:line="480"/>
        <w:rPr/>
      </w:pPr>
      <w:r>
        <w:rPr/>
        <w:t xml:space="preserve">20. </w:t>
      </w:r>
      <w:r>
        <w:rPr>
          <w:b/>
        </w:rPr>
        <w:t>Drury BJ</w:t>
      </w:r>
      <w:r>
        <w:rPr/>
        <w:t xml:space="preserve">, </w:t>
      </w:r>
      <w:r>
        <w:rPr>
          <w:b/>
        </w:rPr>
        <w:t>Siy JO</w:t>
      </w:r>
      <w:r>
        <w:rPr/>
        <w:t xml:space="preserve">, </w:t>
      </w:r>
      <w:r>
        <w:rPr>
          <w:b/>
        </w:rPr>
        <w:t>Cheryan S</w:t>
      </w:r>
      <w:r>
        <w:rPr/>
        <w:t xml:space="preserve">. 2011. When do female role models benefit women? The importance of differentiating recruitment from retention in STEM. Psychological Inquiry </w:t>
      </w:r>
      <w:r>
        <w:rPr>
          <w:b/>
        </w:rPr>
        <w:t>22</w:t>
      </w:r>
      <w:r>
        <w:rPr/>
        <w:t>:265–269. doi:</w:t>
      </w:r>
      <w:hyperlink r:id="rId21">
        <w:r>
          <w:rPr>
            <w:rStyle w:val="InternetLink"/>
          </w:rPr>
          <w:t>10.1080/1047840x.2011.620935</w:t>
        </w:r>
      </w:hyperlink>
      <w:r>
        <w:rPr/>
        <w:t>.</w:t>
      </w:r>
    </w:p>
    <w:p>
      <w:pPr>
        <w:pStyle w:val="TextBody"/>
        <w:spacing w:lineRule="auto" w:line="480"/>
        <w:rPr/>
      </w:pPr>
      <w:r>
        <w:rPr/>
        <w:t xml:space="preserve">21. </w:t>
      </w:r>
      <w:r>
        <w:rPr>
          <w:b/>
        </w:rPr>
        <w:t>Lambert WM</w:t>
      </w:r>
      <w:r>
        <w:rPr/>
        <w:t xml:space="preserve">, </w:t>
      </w:r>
      <w:r>
        <w:rPr>
          <w:b/>
        </w:rPr>
        <w:t>Wells MT</w:t>
      </w:r>
      <w:r>
        <w:rPr/>
        <w:t xml:space="preserve">, </w:t>
      </w:r>
      <w:r>
        <w:rPr>
          <w:b/>
        </w:rPr>
        <w:t>Cipriano MF</w:t>
      </w:r>
      <w:r>
        <w:rPr/>
        <w:t xml:space="preserve">, </w:t>
      </w:r>
      <w:r>
        <w:rPr>
          <w:b/>
        </w:rPr>
        <w:t>Sneva JN</w:t>
      </w:r>
      <w:r>
        <w:rPr/>
        <w:t xml:space="preserve">, </w:t>
      </w:r>
      <w:r>
        <w:rPr>
          <w:b/>
        </w:rPr>
        <w:t>Morris JA</w:t>
      </w:r>
      <w:r>
        <w:rPr/>
        <w:t xml:space="preserve">, </w:t>
      </w:r>
      <w:r>
        <w:rPr>
          <w:b/>
        </w:rPr>
        <w:t>Golightly LM</w:t>
      </w:r>
      <w:r>
        <w:rPr/>
        <w:t xml:space="preserve">. 2020. Career choices of underrepresented and female postdocs in the biomedical sciences. eLife </w:t>
      </w:r>
      <w:r>
        <w:rPr>
          <w:b/>
        </w:rPr>
        <w:t>9</w:t>
      </w:r>
      <w:r>
        <w:rPr/>
        <w:t>. doi:</w:t>
      </w:r>
      <w:hyperlink r:id="rId22">
        <w:r>
          <w:rPr>
            <w:rStyle w:val="InternetLink"/>
          </w:rPr>
          <w:t>10.7554/elife.48774</w:t>
        </w:r>
      </w:hyperlink>
      <w:r>
        <w:rPr/>
        <w:t>.</w:t>
      </w:r>
    </w:p>
    <w:p>
      <w:pPr>
        <w:pStyle w:val="TextBody"/>
        <w:spacing w:lineRule="auto" w:line="480"/>
        <w:rPr/>
      </w:pPr>
      <w:r>
        <w:rPr/>
        <w:t xml:space="preserve">22. </w:t>
      </w:r>
      <w:r>
        <w:rPr>
          <w:b/>
        </w:rPr>
        <w:t>Hardeman RR</w:t>
      </w:r>
      <w:r>
        <w:rPr/>
        <w:t xml:space="preserve">, </w:t>
      </w:r>
      <w:r>
        <w:rPr>
          <w:b/>
        </w:rPr>
        <w:t>Murphy KA</w:t>
      </w:r>
      <w:r>
        <w:rPr/>
        <w:t xml:space="preserve">, </w:t>
      </w:r>
      <w:r>
        <w:rPr>
          <w:b/>
        </w:rPr>
        <w:t>Karbeah J</w:t>
      </w:r>
      <w:r>
        <w:rPr/>
        <w:t xml:space="preserve">, </w:t>
      </w:r>
      <w:r>
        <w:rPr>
          <w:b/>
        </w:rPr>
        <w:t>Kozhimannil KB</w:t>
      </w:r>
      <w:r>
        <w:rPr/>
        <w:t xml:space="preserve">. 2018. Naming institutionalized racism in the public health literature: A systematic literature review. Public Health Reports </w:t>
      </w:r>
      <w:r>
        <w:rPr>
          <w:b/>
        </w:rPr>
        <w:t>133</w:t>
      </w:r>
      <w:r>
        <w:rPr/>
        <w:t>:240–249. doi:</w:t>
      </w:r>
      <w:hyperlink r:id="rId23">
        <w:r>
          <w:rPr>
            <w:rStyle w:val="InternetLink"/>
          </w:rPr>
          <w:t>10.1177/0033354918760574</w:t>
        </w:r>
      </w:hyperlink>
      <w:r>
        <w:rPr/>
        <w:t>.</w:t>
      </w:r>
    </w:p>
    <w:p>
      <w:pPr>
        <w:pStyle w:val="TextBody"/>
        <w:spacing w:lineRule="auto" w:line="480"/>
        <w:rPr/>
      </w:pPr>
      <w:r>
        <w:rPr/>
        <w:t xml:space="preserve">23. </w:t>
      </w:r>
      <w:r>
        <w:rPr>
          <w:b/>
        </w:rPr>
        <w:t>Harvey WB</w:t>
      </w:r>
      <w:r>
        <w:rPr/>
        <w:t>. 2011. Higher education and diversity: Ethical and practical responsiblity in the academy.</w:t>
      </w:r>
    </w:p>
    <w:p>
      <w:pPr>
        <w:pStyle w:val="TextBody"/>
        <w:spacing w:lineRule="auto" w:line="480"/>
        <w:rPr/>
      </w:pPr>
      <w:r>
        <w:rPr/>
        <w:t xml:space="preserve">24. </w:t>
      </w:r>
      <w:r>
        <w:rPr>
          <w:b/>
        </w:rPr>
        <w:t>Stack M</w:t>
      </w:r>
      <w:r>
        <w:rPr/>
        <w:t xml:space="preserve">. 2019. Academic stars and university rankings in higher education: Impacts on policy and practice. Policy Reviews in Higher Education </w:t>
      </w:r>
      <w:r>
        <w:rPr>
          <w:b/>
        </w:rPr>
        <w:t>4</w:t>
      </w:r>
      <w:r>
        <w:rPr/>
        <w:t>:4–24. doi:</w:t>
      </w:r>
      <w:hyperlink r:id="rId24">
        <w:r>
          <w:rPr>
            <w:rStyle w:val="InternetLink"/>
          </w:rPr>
          <w:t>10.1080/23322969.2019.1667859</w:t>
        </w:r>
      </w:hyperlink>
      <w:r>
        <w:rPr/>
        <w:t>.</w:t>
      </w:r>
    </w:p>
    <w:p>
      <w:pPr>
        <w:pStyle w:val="TextBody"/>
        <w:spacing w:lineRule="auto" w:line="480"/>
        <w:rPr/>
      </w:pPr>
      <w:r>
        <w:rPr/>
        <w:t xml:space="preserve">25. </w:t>
      </w:r>
      <w:r>
        <w:rPr>
          <w:b/>
        </w:rPr>
        <w:t>Iverson SV</w:t>
      </w:r>
      <w:r>
        <w:rPr/>
        <w:t xml:space="preserve">. 2007. Camouflaging power and privilege: A critical race analysis of university diversity policies. Educational Administration Quarterly </w:t>
      </w:r>
      <w:r>
        <w:rPr>
          <w:b/>
        </w:rPr>
        <w:t>43</w:t>
      </w:r>
      <w:r>
        <w:rPr/>
        <w:t>:586–611. doi:</w:t>
      </w:r>
      <w:hyperlink r:id="rId25">
        <w:r>
          <w:rPr>
            <w:rStyle w:val="InternetLink"/>
          </w:rPr>
          <w:t>10.1177/0013161x07307794</w:t>
        </w:r>
      </w:hyperlink>
      <w:r>
        <w:rPr/>
        <w:t>.</w:t>
      </w:r>
    </w:p>
    <w:p>
      <w:pPr>
        <w:pStyle w:val="TextBody"/>
        <w:spacing w:lineRule="auto" w:line="480"/>
        <w:rPr/>
      </w:pPr>
      <w:r>
        <w:rPr/>
        <w:t xml:space="preserve">26. </w:t>
      </w:r>
      <w:r>
        <w:rPr>
          <w:b/>
        </w:rPr>
        <w:t>Tate SA</w:t>
      </w:r>
      <w:r>
        <w:rPr/>
        <w:t xml:space="preserve">, </w:t>
      </w:r>
      <w:r>
        <w:rPr>
          <w:b/>
        </w:rPr>
        <w:t>Bagguley P</w:t>
      </w:r>
      <w:r>
        <w:rPr/>
        <w:t xml:space="preserve">. 2016. Building the anti-racist university: Next steps. Race Ethnicity and Education </w:t>
      </w:r>
      <w:r>
        <w:rPr>
          <w:b/>
        </w:rPr>
        <w:t>20</w:t>
      </w:r>
      <w:r>
        <w:rPr/>
        <w:t>:289–299. doi:</w:t>
      </w:r>
      <w:hyperlink r:id="rId26">
        <w:r>
          <w:rPr>
            <w:rStyle w:val="InternetLink"/>
          </w:rPr>
          <w:t>10.1080/13613324.2016.1260227</w:t>
        </w:r>
      </w:hyperlink>
      <w:r>
        <w:rPr/>
        <w:t>.</w:t>
      </w:r>
    </w:p>
    <w:p>
      <w:pPr>
        <w:pStyle w:val="TextBody"/>
        <w:spacing w:lineRule="auto" w:line="480"/>
        <w:rPr/>
      </w:pPr>
      <w:r>
        <w:rPr/>
        <w:t xml:space="preserve">27. </w:t>
      </w:r>
      <w:r>
        <w:rPr>
          <w:b/>
        </w:rPr>
        <w:t>Gibbs KD</w:t>
      </w:r>
      <w:r>
        <w:rPr/>
        <w:t xml:space="preserve">, </w:t>
      </w:r>
      <w:r>
        <w:rPr>
          <w:b/>
        </w:rPr>
        <w:t>Basson J</w:t>
      </w:r>
      <w:r>
        <w:rPr/>
        <w:t xml:space="preserve">, </w:t>
      </w:r>
      <w:r>
        <w:rPr>
          <w:b/>
        </w:rPr>
        <w:t>Xierali IM</w:t>
      </w:r>
      <w:r>
        <w:rPr/>
        <w:t xml:space="preserve">, </w:t>
      </w:r>
      <w:r>
        <w:rPr>
          <w:b/>
        </w:rPr>
        <w:t>Broniatowski DA</w:t>
      </w:r>
      <w:r>
        <w:rPr/>
        <w:t xml:space="preserve">. 2016. Decoupling of the minority PhD talent pool and assistant professor hiring in medical school basic science departments in the US. eLife </w:t>
      </w:r>
      <w:r>
        <w:rPr>
          <w:b/>
        </w:rPr>
        <w:t>5</w:t>
      </w:r>
      <w:r>
        <w:rPr/>
        <w:t>. doi:</w:t>
      </w:r>
      <w:hyperlink r:id="rId27">
        <w:r>
          <w:rPr>
            <w:rStyle w:val="InternetLink"/>
          </w:rPr>
          <w:t>10.7554/elife.21393</w:t>
        </w:r>
      </w:hyperlink>
      <w:r>
        <w:rPr/>
        <w:t>.</w:t>
      </w:r>
    </w:p>
    <w:p>
      <w:pPr>
        <w:pStyle w:val="TextBody"/>
        <w:spacing w:lineRule="auto" w:line="480"/>
        <w:rPr/>
      </w:pPr>
      <w:r>
        <w:rPr/>
        <w:t xml:space="preserve">28. </w:t>
      </w:r>
      <w:r>
        <w:rPr>
          <w:b/>
        </w:rPr>
        <w:t>Nittrouer CL</w:t>
      </w:r>
      <w:r>
        <w:rPr/>
        <w:t xml:space="preserve">, </w:t>
      </w:r>
      <w:r>
        <w:rPr>
          <w:b/>
        </w:rPr>
        <w:t>Hebl MR</w:t>
      </w:r>
      <w:r>
        <w:rPr/>
        <w:t xml:space="preserve">, </w:t>
      </w:r>
      <w:r>
        <w:rPr>
          <w:b/>
        </w:rPr>
        <w:t>Ashburn-Nardo L</w:t>
      </w:r>
      <w:r>
        <w:rPr/>
        <w:t xml:space="preserve">, </w:t>
      </w:r>
      <w:r>
        <w:rPr>
          <w:b/>
        </w:rPr>
        <w:t>Trump-Steele RCE</w:t>
      </w:r>
      <w:r>
        <w:rPr/>
        <w:t xml:space="preserve">, </w:t>
      </w:r>
      <w:r>
        <w:rPr>
          <w:b/>
        </w:rPr>
        <w:t>Lane DM</w:t>
      </w:r>
      <w:r>
        <w:rPr/>
        <w:t xml:space="preserve">, </w:t>
      </w:r>
      <w:r>
        <w:rPr>
          <w:b/>
        </w:rPr>
        <w:t>Valian V</w:t>
      </w:r>
      <w:r>
        <w:rPr/>
        <w:t xml:space="preserve">. 2018. Gender disparities in colloquium speakers at top universities. Proceedings of the National Academy of Sciences </w:t>
      </w:r>
      <w:r>
        <w:rPr>
          <w:b/>
        </w:rPr>
        <w:t>115</w:t>
      </w:r>
      <w:r>
        <w:rPr/>
        <w:t>:104–108. doi:</w:t>
      </w:r>
      <w:hyperlink r:id="rId28">
        <w:r>
          <w:rPr>
            <w:rStyle w:val="InternetLink"/>
          </w:rPr>
          <w:t>10.1073/pnas.1708414115</w:t>
        </w:r>
      </w:hyperlink>
      <w:r>
        <w:rPr/>
        <w:t>.</w:t>
      </w:r>
    </w:p>
    <w:p>
      <w:pPr>
        <w:pStyle w:val="TextBody"/>
        <w:spacing w:lineRule="auto" w:line="480"/>
        <w:rPr/>
      </w:pPr>
      <w:r>
        <w:rPr/>
        <w:t xml:space="preserve">29. </w:t>
      </w:r>
      <w:r>
        <w:rPr>
          <w:b/>
        </w:rPr>
        <w:t>Kalejta RF</w:t>
      </w:r>
      <w:r>
        <w:rPr/>
        <w:t xml:space="preserve">, </w:t>
      </w:r>
      <w:r>
        <w:rPr>
          <w:b/>
        </w:rPr>
        <w:t>Palmenberg AC</w:t>
      </w:r>
      <w:r>
        <w:rPr/>
        <w:t xml:space="preserve">. 2017. Gender Parity Trends for Invited Speakers at Four Prominent Virology Conference Series. Journal of Virology </w:t>
      </w:r>
      <w:r>
        <w:rPr>
          <w:b/>
        </w:rPr>
        <w:t>91</w:t>
      </w:r>
      <w:r>
        <w:rPr/>
        <w:t>. doi:</w:t>
      </w:r>
      <w:hyperlink r:id="rId29">
        <w:r>
          <w:rPr>
            <w:rStyle w:val="InternetLink"/>
          </w:rPr>
          <w:t>10.1128/JVI.00739-17</w:t>
        </w:r>
      </w:hyperlink>
      <w:r>
        <w:rPr/>
        <w:t>.</w:t>
      </w:r>
    </w:p>
    <w:p>
      <w:pPr>
        <w:pStyle w:val="TextBody"/>
        <w:spacing w:lineRule="auto" w:line="480"/>
        <w:rPr/>
      </w:pPr>
      <w:r>
        <w:rPr/>
        <w:t xml:space="preserve">30. </w:t>
      </w:r>
      <w:r>
        <w:rPr>
          <w:b/>
        </w:rPr>
        <w:t>Casadevall A</w:t>
      </w:r>
      <w:r>
        <w:rPr/>
        <w:t xml:space="preserve">, </w:t>
      </w:r>
      <w:r>
        <w:rPr>
          <w:b/>
        </w:rPr>
        <w:t>Handelsman J</w:t>
      </w:r>
      <w:r>
        <w:rPr/>
        <w:t xml:space="preserve">. 2014. The Presence of Female Conveners Correlates with a Higher Proportion of Female Speakers at Scientific Symposia. mBio </w:t>
      </w:r>
      <w:r>
        <w:rPr>
          <w:b/>
        </w:rPr>
        <w:t>5</w:t>
      </w:r>
      <w:r>
        <w:rPr/>
        <w:t>. doi:</w:t>
      </w:r>
      <w:hyperlink r:id="rId30">
        <w:r>
          <w:rPr>
            <w:rStyle w:val="InternetLink"/>
          </w:rPr>
          <w:t>10.1128/mBio.00846-13</w:t>
        </w:r>
      </w:hyperlink>
      <w:r>
        <w:rPr/>
        <w:t>.</w:t>
      </w:r>
    </w:p>
    <w:p>
      <w:pPr>
        <w:pStyle w:val="TextBody"/>
        <w:spacing w:lineRule="auto" w:line="480"/>
        <w:rPr/>
      </w:pPr>
      <w:r>
        <w:rPr/>
        <w:t xml:space="preserve">31. </w:t>
      </w:r>
      <w:r>
        <w:rPr>
          <w:b/>
        </w:rPr>
        <w:t>Klein RS</w:t>
      </w:r>
      <w:r>
        <w:rPr/>
        <w:t xml:space="preserve">, </w:t>
      </w:r>
      <w:r>
        <w:rPr>
          <w:b/>
        </w:rPr>
        <w:t>Voskuhl R</w:t>
      </w:r>
      <w:r>
        <w:rPr/>
        <w:t xml:space="preserve">, </w:t>
      </w:r>
      <w:r>
        <w:rPr>
          <w:b/>
        </w:rPr>
        <w:t>Segal BM</w:t>
      </w:r>
      <w:r>
        <w:rPr/>
        <w:t xml:space="preserve">, </w:t>
      </w:r>
      <w:r>
        <w:rPr>
          <w:b/>
        </w:rPr>
        <w:t>Dittel BN</w:t>
      </w:r>
      <w:r>
        <w:rPr/>
        <w:t xml:space="preserve">, </w:t>
      </w:r>
      <w:r>
        <w:rPr>
          <w:b/>
        </w:rPr>
        <w:t>Lane TE</w:t>
      </w:r>
      <w:r>
        <w:rPr/>
        <w:t xml:space="preserve">, </w:t>
      </w:r>
      <w:r>
        <w:rPr>
          <w:b/>
        </w:rPr>
        <w:t>Bethea JR</w:t>
      </w:r>
      <w:r>
        <w:rPr/>
        <w:t xml:space="preserve">, </w:t>
      </w:r>
      <w:r>
        <w:rPr>
          <w:b/>
        </w:rPr>
        <w:t>Carson MJ</w:t>
      </w:r>
      <w:r>
        <w:rPr/>
        <w:t xml:space="preserve">, </w:t>
      </w:r>
      <w:r>
        <w:rPr>
          <w:b/>
        </w:rPr>
        <w:t>Colton C</w:t>
      </w:r>
      <w:r>
        <w:rPr/>
        <w:t xml:space="preserve">, </w:t>
      </w:r>
      <w:r>
        <w:rPr>
          <w:b/>
        </w:rPr>
        <w:t>Rosi S</w:t>
      </w:r>
      <w:r>
        <w:rPr/>
        <w:t xml:space="preserve">, </w:t>
      </w:r>
      <w:r>
        <w:rPr>
          <w:b/>
        </w:rPr>
        <w:t>Anderson A</w:t>
      </w:r>
      <w:r>
        <w:rPr/>
        <w:t xml:space="preserve">, </w:t>
      </w:r>
      <w:r>
        <w:rPr>
          <w:b/>
        </w:rPr>
        <w:t>Piccio L</w:t>
      </w:r>
      <w:r>
        <w:rPr/>
        <w:t xml:space="preserve">, </w:t>
      </w:r>
      <w:r>
        <w:rPr>
          <w:b/>
        </w:rPr>
        <w:t>Goverman JM</w:t>
      </w:r>
      <w:r>
        <w:rPr/>
        <w:t xml:space="preserve">, </w:t>
      </w:r>
      <w:r>
        <w:rPr>
          <w:b/>
        </w:rPr>
        <w:t>Benveniste EN</w:t>
      </w:r>
      <w:r>
        <w:rPr/>
        <w:t xml:space="preserve">, </w:t>
      </w:r>
      <w:r>
        <w:rPr>
          <w:b/>
        </w:rPr>
        <w:t>Brown MA</w:t>
      </w:r>
      <w:r>
        <w:rPr/>
        <w:t xml:space="preserve">, </w:t>
      </w:r>
      <w:r>
        <w:rPr>
          <w:b/>
        </w:rPr>
        <w:t>Tiwari-Woodruff SK</w:t>
      </w:r>
      <w:r>
        <w:rPr/>
        <w:t xml:space="preserve">, </w:t>
      </w:r>
      <w:r>
        <w:rPr>
          <w:b/>
        </w:rPr>
        <w:t>Harris TH</w:t>
      </w:r>
      <w:r>
        <w:rPr/>
        <w:t xml:space="preserve">, </w:t>
      </w:r>
      <w:r>
        <w:rPr>
          <w:b/>
        </w:rPr>
        <w:t>Cross AH</w:t>
      </w:r>
      <w:r>
        <w:rPr/>
        <w:t xml:space="preserve">. 2017. Speaking out about gender imbalance in invited speakers improves diversity. Nature Immunology </w:t>
      </w:r>
      <w:r>
        <w:rPr>
          <w:b/>
        </w:rPr>
        <w:t>18</w:t>
      </w:r>
      <w:r>
        <w:rPr/>
        <w:t>:475–478. doi:</w:t>
      </w:r>
      <w:hyperlink r:id="rId31">
        <w:r>
          <w:rPr>
            <w:rStyle w:val="InternetLink"/>
          </w:rPr>
          <w:t>10.1038/ni.3707</w:t>
        </w:r>
      </w:hyperlink>
      <w:r>
        <w:rPr/>
        <w:t>.</w:t>
      </w:r>
    </w:p>
    <w:p>
      <w:pPr>
        <w:pStyle w:val="TextBody"/>
        <w:spacing w:lineRule="auto" w:line="480"/>
        <w:rPr/>
      </w:pPr>
      <w:r>
        <w:rPr/>
        <w:t xml:space="preserve">32. </w:t>
      </w:r>
      <w:r>
        <w:rPr>
          <w:b/>
        </w:rPr>
        <w:t>Broderick NA</w:t>
      </w:r>
      <w:r>
        <w:rPr/>
        <w:t xml:space="preserve">, </w:t>
      </w:r>
      <w:r>
        <w:rPr>
          <w:b/>
        </w:rPr>
        <w:t>Casadevall A</w:t>
      </w:r>
      <w:r>
        <w:rPr/>
        <w:t xml:space="preserve">. 2019. Gender inequalities among authors who contributed equally. eLife </w:t>
      </w:r>
      <w:r>
        <w:rPr>
          <w:b/>
        </w:rPr>
        <w:t>8</w:t>
      </w:r>
      <w:r>
        <w:rPr/>
        <w:t>. doi:</w:t>
      </w:r>
      <w:hyperlink r:id="rId32">
        <w:r>
          <w:rPr>
            <w:rStyle w:val="InternetLink"/>
          </w:rPr>
          <w:t>10.7554/elife.36399</w:t>
        </w:r>
      </w:hyperlink>
      <w:r>
        <w:rPr/>
        <w:t>.</w:t>
      </w:r>
    </w:p>
    <w:p>
      <w:pPr>
        <w:pStyle w:val="TextBody"/>
        <w:spacing w:lineRule="auto" w:line="480"/>
        <w:rPr/>
      </w:pPr>
      <w:r>
        <w:rPr/>
        <w:t xml:space="preserve">33. </w:t>
      </w:r>
      <w:r>
        <w:rPr>
          <w:b/>
        </w:rPr>
        <w:t>Kimery KM</w:t>
      </w:r>
      <w:r>
        <w:rPr/>
        <w:t xml:space="preserve">, </w:t>
      </w:r>
      <w:r>
        <w:rPr>
          <w:b/>
        </w:rPr>
        <w:t>Mellon MJ</w:t>
      </w:r>
      <w:r>
        <w:rPr/>
        <w:t xml:space="preserve">, </w:t>
      </w:r>
      <w:r>
        <w:rPr>
          <w:b/>
        </w:rPr>
        <w:t>Rinehart SM</w:t>
      </w:r>
      <w:r>
        <w:rPr/>
        <w:t xml:space="preserve">. 2011. Publishing in the accounting journals: Is there a gender bias? Journal of Business &amp; Economics Research (JBER) </w:t>
      </w:r>
      <w:r>
        <w:rPr>
          <w:b/>
        </w:rPr>
        <w:t>2</w:t>
      </w:r>
      <w:r>
        <w:rPr/>
        <w:t>. doi:</w:t>
      </w:r>
      <w:hyperlink r:id="rId33">
        <w:r>
          <w:rPr>
            <w:rStyle w:val="InternetLink"/>
          </w:rPr>
          <w:t>10.19030/jber.v2i4.2872</w:t>
        </w:r>
      </w:hyperlink>
      <w:r>
        <w:rPr/>
        <w:t>.</w:t>
      </w:r>
    </w:p>
    <w:p>
      <w:pPr>
        <w:pStyle w:val="TextBody"/>
        <w:spacing w:lineRule="auto" w:line="480"/>
        <w:rPr/>
      </w:pPr>
      <w:r>
        <w:rPr/>
        <w:t xml:space="preserve">34. </w:t>
      </w:r>
      <w:r>
        <w:rPr>
          <w:b/>
        </w:rPr>
        <w:t>Helmer M</w:t>
      </w:r>
      <w:r>
        <w:rPr/>
        <w:t xml:space="preserve">, </w:t>
      </w:r>
      <w:r>
        <w:rPr>
          <w:b/>
        </w:rPr>
        <w:t>Schottdorf M</w:t>
      </w:r>
      <w:r>
        <w:rPr/>
        <w:t xml:space="preserve">, </w:t>
      </w:r>
      <w:r>
        <w:rPr>
          <w:b/>
        </w:rPr>
        <w:t>Neef A</w:t>
      </w:r>
      <w:r>
        <w:rPr/>
        <w:t xml:space="preserve">, </w:t>
      </w:r>
      <w:r>
        <w:rPr>
          <w:b/>
        </w:rPr>
        <w:t>Battaglia D</w:t>
      </w:r>
      <w:r>
        <w:rPr/>
        <w:t xml:space="preserve">. 2017. Gender bias in scholarly peer review. eLife </w:t>
      </w:r>
      <w:r>
        <w:rPr>
          <w:b/>
        </w:rPr>
        <w:t>6</w:t>
      </w:r>
      <w:r>
        <w:rPr/>
        <w:t>. doi:</w:t>
      </w:r>
      <w:hyperlink r:id="rId34">
        <w:r>
          <w:rPr>
            <w:rStyle w:val="InternetLink"/>
          </w:rPr>
          <w:t>10.7554/elife.21718</w:t>
        </w:r>
      </w:hyperlink>
      <w:r>
        <w:rPr/>
        <w:t>.</w:t>
      </w:r>
    </w:p>
    <w:p>
      <w:pPr>
        <w:pStyle w:val="TextBody"/>
        <w:spacing w:lineRule="auto" w:line="480"/>
        <w:rPr/>
      </w:pPr>
      <w:r>
        <w:rPr/>
        <w:t xml:space="preserve">35. </w:t>
      </w:r>
      <w:r>
        <w:rPr>
          <w:b/>
        </w:rPr>
        <w:t>Fox CW</w:t>
      </w:r>
      <w:r>
        <w:rPr/>
        <w:t xml:space="preserve">, </w:t>
      </w:r>
      <w:r>
        <w:rPr>
          <w:b/>
        </w:rPr>
        <w:t>Paine CET</w:t>
      </w:r>
      <w:r>
        <w:rPr/>
        <w:t xml:space="preserve">. 2019. Gender differences in peer review outcomes and manuscript impact at six journals of ecology and evolution. Ecology and Evolution </w:t>
      </w:r>
      <w:r>
        <w:rPr>
          <w:b/>
        </w:rPr>
        <w:t>9</w:t>
      </w:r>
      <w:r>
        <w:rPr/>
        <w:t>:3599–3619. doi:</w:t>
      </w:r>
      <w:hyperlink r:id="rId35">
        <w:r>
          <w:rPr>
            <w:rStyle w:val="InternetLink"/>
          </w:rPr>
          <w:t>10.1002/ece3.4993</w:t>
        </w:r>
      </w:hyperlink>
      <w:r>
        <w:rPr/>
        <w:t>.</w:t>
      </w:r>
    </w:p>
    <w:p>
      <w:pPr>
        <w:pStyle w:val="TextBody"/>
        <w:spacing w:lineRule="auto" w:line="480"/>
        <w:rPr/>
      </w:pPr>
      <w:r>
        <w:rPr/>
        <w:t xml:space="preserve">36. </w:t>
      </w:r>
      <w:r>
        <w:rPr>
          <w:b/>
        </w:rPr>
        <w:t>Gilbert JR</w:t>
      </w:r>
      <w:r>
        <w:rPr/>
        <w:t xml:space="preserve">. 1994. Is there gender bias in JAMAs peer review process? JAMA: The Journal of the American Medical Association </w:t>
      </w:r>
      <w:r>
        <w:rPr>
          <w:b/>
        </w:rPr>
        <w:t>272</w:t>
      </w:r>
      <w:r>
        <w:rPr/>
        <w:t>:139. doi:</w:t>
      </w:r>
      <w:hyperlink r:id="rId36">
        <w:r>
          <w:rPr>
            <w:rStyle w:val="InternetLink"/>
          </w:rPr>
          <w:t>10.1001/jama.1994.03520020065018</w:t>
        </w:r>
      </w:hyperlink>
      <w:r>
        <w:rPr/>
        <w:t>.</w:t>
      </w:r>
    </w:p>
    <w:p>
      <w:pPr>
        <w:pStyle w:val="TextBody"/>
        <w:spacing w:lineRule="auto" w:line="480"/>
        <w:rPr/>
      </w:pPr>
      <w:r>
        <w:rPr/>
        <w:t xml:space="preserve">37. </w:t>
      </w:r>
      <w:r>
        <w:rPr>
          <w:b/>
        </w:rPr>
        <w:t>Okonofua BA</w:t>
      </w:r>
      <w:r>
        <w:rPr/>
        <w:t xml:space="preserve">. 2013. I am blacker than you. SAGE Open </w:t>
      </w:r>
      <w:r>
        <w:rPr>
          <w:b/>
        </w:rPr>
        <w:t>3</w:t>
      </w:r>
      <w:r>
        <w:rPr/>
        <w:t>:215824401349916. doi:</w:t>
      </w:r>
      <w:hyperlink r:id="rId37">
        <w:r>
          <w:rPr>
            <w:rStyle w:val="InternetLink"/>
          </w:rPr>
          <w:t>10.1177/2158244013499162</w:t>
        </w:r>
      </w:hyperlink>
      <w:r>
        <w:rPr/>
        <w:t>.</w:t>
      </w:r>
    </w:p>
    <w:p>
      <w:pPr>
        <w:pStyle w:val="TextBody"/>
        <w:spacing w:lineRule="auto" w:line="480"/>
        <w:rPr/>
      </w:pPr>
      <w:r>
        <w:rPr/>
        <w:t xml:space="preserve">38. </w:t>
      </w:r>
      <w:r>
        <w:rPr>
          <w:b/>
        </w:rPr>
        <w:t>R Core Team</w:t>
      </w:r>
      <w:r>
        <w:rPr/>
        <w:t>. 2017. R: A language and environment for statistical computing. R Foundation for Statistical Computing, Vienna, Austria.</w:t>
      </w:r>
    </w:p>
    <w:p>
      <w:pPr>
        <w:pStyle w:val="TextBody"/>
        <w:spacing w:lineRule="auto" w:line="480"/>
        <w:rPr/>
      </w:pPr>
      <w:r>
        <w:rPr/>
        <w:t xml:space="preserve">39. </w:t>
      </w:r>
      <w:r>
        <w:rPr>
          <w:b/>
        </w:rPr>
        <w:t>Wickham H</w:t>
      </w:r>
      <w:r>
        <w:rPr/>
        <w:t>. 2017. Tidyverse: Easily Install and Load the ’Tidyverse’.</w:t>
      </w:r>
    </w:p>
    <w:p>
      <w:pPr>
        <w:pStyle w:val="TextBody"/>
        <w:spacing w:lineRule="auto" w:line="480"/>
        <w:rPr/>
      </w:pPr>
      <w:r>
        <w:rPr/>
        <w:t xml:space="preserve">40. </w:t>
      </w:r>
      <w:r>
        <w:rPr>
          <w:b/>
        </w:rPr>
        <w:t>Wilke CO</w:t>
      </w:r>
      <w:r>
        <w:rPr/>
        <w:t>. 2019. Cowplot: Streamlined plot theme and plot annotations for ’ggplot2’.</w:t>
      </w:r>
    </w:p>
    <w:p>
      <w:pPr>
        <w:pStyle w:val="TextBody"/>
        <w:spacing w:lineRule="auto" w:line="480"/>
        <w:rPr/>
      </w:pPr>
      <w:r>
        <w:rPr/>
        <w:t xml:space="preserve">41. </w:t>
      </w:r>
      <w:r>
        <w:rPr>
          <w:b/>
        </w:rPr>
        <w:t>Allaire J</w:t>
      </w:r>
      <w:r>
        <w:rPr/>
        <w:t xml:space="preserve">, </w:t>
      </w:r>
      <w:r>
        <w:rPr>
          <w:b/>
        </w:rPr>
        <w:t>Horner J</w:t>
      </w:r>
      <w:r>
        <w:rPr/>
        <w:t xml:space="preserve">, </w:t>
      </w:r>
      <w:r>
        <w:rPr>
          <w:b/>
        </w:rPr>
        <w:t>Xie Y</w:t>
      </w:r>
      <w:r>
        <w:rPr/>
        <w:t xml:space="preserve">, </w:t>
      </w:r>
      <w:r>
        <w:rPr>
          <w:b/>
        </w:rPr>
        <w:t>Marti V</w:t>
      </w:r>
      <w:r>
        <w:rPr/>
        <w:t xml:space="preserve">, </w:t>
      </w:r>
      <w:r>
        <w:rPr>
          <w:b/>
        </w:rPr>
        <w:t>Porte N</w:t>
      </w:r>
      <w:r>
        <w:rPr/>
        <w:t>. 2018. Markdown: ’Markdown’ rendering for r.</w:t>
      </w:r>
    </w:p>
    <w:p>
      <w:pPr>
        <w:pStyle w:val="TextBody"/>
        <w:spacing w:lineRule="auto" w:line="480"/>
        <w:rPr/>
      </w:pPr>
      <w:r>
        <w:rPr/>
        <w:t xml:space="preserve">42. </w:t>
      </w:r>
      <w:r>
        <w:rPr>
          <w:b/>
        </w:rPr>
        <w:t>Xie Y</w:t>
      </w:r>
      <w:r>
        <w:rPr/>
        <w:t xml:space="preserve">, </w:t>
      </w:r>
      <w:r>
        <w:rPr>
          <w:b/>
        </w:rPr>
        <w:t>Allaire J</w:t>
      </w:r>
      <w:r>
        <w:rPr/>
        <w:t xml:space="preserve">, </w:t>
      </w:r>
      <w:r>
        <w:rPr>
          <w:b/>
        </w:rPr>
        <w:t>Grolemund G</w:t>
      </w:r>
      <w:r>
        <w:rPr/>
        <w:t>. 2018. R markdown: The definitive guide. Chapman; Hall/CRC, Boca Raton, Florida.</w:t>
      </w:r>
    </w:p>
    <w:p>
      <w:pPr>
        <w:pStyle w:val="TextBody"/>
        <w:spacing w:lineRule="auto" w:line="480"/>
        <w:rPr/>
      </w:pPr>
      <w:r>
        <w:rPr/>
        <w:t xml:space="preserve">43. </w:t>
      </w:r>
      <w:r>
        <w:rPr>
          <w:b/>
        </w:rPr>
        <w:t>Allaire J</w:t>
      </w:r>
      <w:r>
        <w:rPr/>
        <w:t xml:space="preserve">, </w:t>
      </w:r>
      <w:r>
        <w:rPr>
          <w:b/>
        </w:rPr>
        <w:t>Xie Y</w:t>
      </w:r>
      <w:r>
        <w:rPr/>
        <w:t xml:space="preserve">, </w:t>
      </w:r>
      <w:r>
        <w:rPr>
          <w:b/>
        </w:rPr>
        <w:t>McPherson J</w:t>
      </w:r>
      <w:r>
        <w:rPr/>
        <w:t xml:space="preserve">, </w:t>
      </w:r>
      <w:r>
        <w:rPr>
          <w:b/>
        </w:rPr>
        <w:t>Luraschi J</w:t>
      </w:r>
      <w:r>
        <w:rPr/>
        <w:t xml:space="preserve">, </w:t>
      </w:r>
      <w:r>
        <w:rPr>
          <w:b/>
        </w:rPr>
        <w:t>Ushey K</w:t>
      </w:r>
      <w:r>
        <w:rPr/>
        <w:t xml:space="preserve">, </w:t>
      </w:r>
      <w:r>
        <w:rPr>
          <w:b/>
        </w:rPr>
        <w:t>Atkins A</w:t>
      </w:r>
      <w:r>
        <w:rPr/>
        <w:t xml:space="preserve">, </w:t>
      </w:r>
      <w:r>
        <w:rPr>
          <w:b/>
        </w:rPr>
        <w:t>Wickham H</w:t>
      </w:r>
      <w:r>
        <w:rPr/>
        <w:t xml:space="preserve">, </w:t>
      </w:r>
      <w:r>
        <w:rPr>
          <w:b/>
        </w:rPr>
        <w:t>Cheng J</w:t>
      </w:r>
      <w:r>
        <w:rPr/>
        <w:t xml:space="preserve">, </w:t>
      </w:r>
      <w:r>
        <w:rPr>
          <w:b/>
        </w:rPr>
        <w:t>Chang W</w:t>
      </w:r>
      <w:r>
        <w:rPr/>
        <w:t xml:space="preserve">, </w:t>
      </w:r>
      <w:r>
        <w:rPr>
          <w:b/>
        </w:rPr>
        <w:t>Iannone R</w:t>
      </w:r>
      <w:r>
        <w:rPr/>
        <w:t>. 2018. Rmarkdown: Dynamic documents for r.</w:t>
      </w:r>
    </w:p>
    <w:p>
      <w:pPr>
        <w:pStyle w:val="TextBody"/>
        <w:spacing w:lineRule="auto" w:line="480"/>
        <w:rPr/>
      </w:pPr>
      <w:r>
        <w:rPr/>
        <w:t xml:space="preserve">44. </w:t>
      </w:r>
      <w:r>
        <w:rPr>
          <w:b/>
        </w:rPr>
        <w:t>Xie Y</w:t>
      </w:r>
      <w:r>
        <w:rPr/>
        <w:t xml:space="preserve">. 2014. Knitr: A comprehensive tool for reproducible research in R. </w:t>
      </w:r>
      <w:r>
        <w:rPr>
          <w:i/>
        </w:rPr>
        <w:t>In</w:t>
      </w:r>
      <w:r>
        <w:rPr/>
        <w:t xml:space="preserve"> Stodden, V, Leisch, F, Peng, RD (eds.), Implementing reproducible computational research. Chapman; Hall/CRC.</w:t>
      </w:r>
    </w:p>
    <w:p>
      <w:pPr>
        <w:pStyle w:val="TextBody"/>
        <w:spacing w:lineRule="auto" w:line="480"/>
        <w:rPr/>
      </w:pPr>
      <w:r>
        <w:rPr/>
        <w:t xml:space="preserve">45. </w:t>
      </w:r>
      <w:r>
        <w:rPr>
          <w:b/>
        </w:rPr>
        <w:t>Xie Y</w:t>
      </w:r>
      <w:r>
        <w:rPr/>
        <w:t>. 2018. Knitr: A general-purpose package for dynamic report generation in r.</w:t>
      </w:r>
    </w:p>
    <w:p>
      <w:pPr>
        <w:pStyle w:val="TextBody"/>
        <w:spacing w:lineRule="auto" w:line="480"/>
        <w:rPr/>
      </w:pPr>
      <w:r>
        <w:rPr/>
        <w:t xml:space="preserve">46. </w:t>
      </w:r>
      <w:r>
        <w:rPr>
          <w:b/>
        </w:rPr>
        <w:t>Grolemund G</w:t>
      </w:r>
      <w:r>
        <w:rPr/>
        <w:t xml:space="preserve">, </w:t>
      </w:r>
      <w:r>
        <w:rPr>
          <w:b/>
        </w:rPr>
        <w:t>Wickham H</w:t>
      </w:r>
      <w:r>
        <w:rPr/>
        <w:t xml:space="preserve">. 2011. Dates and times made easy with lubridate. Journal of Statistical Software </w:t>
      </w:r>
      <w:r>
        <w:rPr>
          <w:b/>
        </w:rPr>
        <w:t>40</w:t>
      </w:r>
      <w:r>
        <w:rPr/>
        <w:t>:1–25.</w:t>
      </w:r>
    </w:p>
    <w:p>
      <w:pPr>
        <w:pStyle w:val="TextBody"/>
        <w:spacing w:lineRule="auto" w:line="480"/>
        <w:rPr/>
      </w:pPr>
      <w:r>
        <w:rPr/>
        <w:t xml:space="preserve">47. </w:t>
      </w:r>
      <w:r>
        <w:rPr>
          <w:b/>
        </w:rPr>
        <w:t>Wickham H</w:t>
      </w:r>
      <w:r>
        <w:rPr/>
        <w:t xml:space="preserve">, </w:t>
      </w:r>
      <w:r>
        <w:rPr>
          <w:b/>
        </w:rPr>
        <w:t>Bryan J</w:t>
      </w:r>
      <w:r>
        <w:rPr/>
        <w:t>. 2018. Readxl: Read excel files.</w:t>
      </w:r>
    </w:p>
    <w:p>
      <w:pPr>
        <w:pStyle w:val="TextBody"/>
        <w:spacing w:lineRule="auto" w:line="480"/>
        <w:rPr/>
      </w:pPr>
      <w:r>
        <w:rPr/>
        <w:t xml:space="preserve">48. </w:t>
      </w:r>
      <w:r>
        <w:rPr>
          <w:b/>
        </w:rPr>
        <w:t>Ooms J</w:t>
      </w:r>
      <w:r>
        <w:rPr/>
        <w:t>. 2019. Pdftools: Text extraction, rendering and converting of pdf documents.</w:t>
      </w:r>
    </w:p>
    <w:p>
      <w:pPr>
        <w:pStyle w:val="TextBody"/>
        <w:spacing w:lineRule="auto" w:line="480"/>
        <w:rPr/>
      </w:pPr>
      <w:r>
        <w:rPr/>
        <w:t xml:space="preserve">49. </w:t>
      </w:r>
      <w:r>
        <w:rPr>
          <w:b/>
        </w:rPr>
        <w:t>Wickham H</w:t>
      </w:r>
      <w:r>
        <w:rPr/>
        <w:t>. 2018. Scales: Scale Functions for Visualization.</w:t>
      </w:r>
    </w:p>
    <w:p>
      <w:pPr>
        <w:pStyle w:val="TextBody"/>
        <w:spacing w:lineRule="auto" w:line="480"/>
        <w:rPr/>
      </w:pPr>
      <w:r>
        <w:rPr/>
        <w:t xml:space="preserve">50. </w:t>
      </w:r>
      <w:r>
        <w:rPr>
          <w:b/>
        </w:rPr>
        <w:t>Neuwirth E</w:t>
      </w:r>
      <w:r>
        <w:rPr/>
        <w:t>. 2014. RColorBrewer: ColorBrewer Palettes.</w:t>
      </w:r>
    </w:p>
    <w:p>
      <w:pPr>
        <w:pStyle w:val="TextBody"/>
        <w:spacing w:lineRule="auto" w:line="480"/>
        <w:rPr/>
      </w:pPr>
      <w:r>
        <w:rPr/>
        <w:t xml:space="preserve">51. </w:t>
      </w:r>
      <w:r>
        <w:rPr>
          <w:b/>
        </w:rPr>
        <w:t>National Center for Science and Engineering Statistics</w:t>
      </w:r>
      <w:r>
        <w:rPr/>
        <w:t>. 2017. Survey of Doctorate Recipients, Survey Year 2017. National Science Foundation, Alexandria, VA.</w:t>
      </w:r>
    </w:p>
    <w:p>
      <w:pPr>
        <w:pStyle w:val="TextBody"/>
        <w:spacing w:lineRule="auto" w:line="480"/>
        <w:rPr/>
      </w:pPr>
      <w:r>
        <w:rPr/>
        <w:t xml:space="preserve">52. </w:t>
      </w:r>
      <w:r>
        <w:rPr>
          <w:b/>
        </w:rPr>
        <w:t>Crenshaw K</w:t>
      </w:r>
      <w:r>
        <w:rPr/>
        <w:t xml:space="preserve">. 1989. Demarginalizing the Intersection of Race and Sex: A black feminist critique of antidiscrimination doctrine, feminist theory and antiracist politics. University of Chicago Legal Forum </w:t>
      </w:r>
      <w:r>
        <w:rPr>
          <w:b/>
        </w:rPr>
        <w:t>1989</w:t>
      </w:r>
      <w:r>
        <w:rPr/>
        <w:t>. doi:</w:t>
      </w:r>
      <w:hyperlink r:id="rId38">
        <w:r>
          <w:rPr>
            <w:rStyle w:val="InternetLink"/>
          </w:rPr>
          <w:t>10.1007/s11162-008-9097-4</w:t>
        </w:r>
      </w:hyperlink>
      <w:r>
        <w:rPr/>
        <w:t>.</w:t>
      </w:r>
    </w:p>
    <w:p>
      <w:pPr>
        <w:pStyle w:val="TextBody"/>
        <w:spacing w:lineRule="auto" w:line="480"/>
        <w:rPr/>
      </w:pPr>
      <w:r>
        <w:rPr/>
        <w:t xml:space="preserve">53. </w:t>
      </w:r>
      <w:r>
        <w:rPr>
          <w:b/>
        </w:rPr>
        <w:t>National Center for Science and Engineering Statistics Directorate for Social, Behavioral, and Economic Sciences</w:t>
      </w:r>
      <w:r>
        <w:rPr/>
        <w:t>. 2019. Women, minorities, and persons with disabilities in science and engineering. National Science Foundation, Alexandria, VA.</w:t>
      </w:r>
    </w:p>
    <w:p>
      <w:pPr>
        <w:pStyle w:val="TextBody"/>
        <w:spacing w:lineRule="auto" w:line="480"/>
        <w:rPr/>
      </w:pPr>
      <w:r>
        <w:rPr/>
        <w:t xml:space="preserve">54. </w:t>
      </w:r>
      <w:r>
        <w:rPr>
          <w:b/>
        </w:rPr>
        <w:t>Allagnat L</w:t>
      </w:r>
      <w:r>
        <w:rPr/>
        <w:t xml:space="preserve">, </w:t>
      </w:r>
      <w:r>
        <w:rPr>
          <w:b/>
        </w:rPr>
        <w:t>Berghmans S</w:t>
      </w:r>
      <w:r>
        <w:rPr/>
        <w:t xml:space="preserve">, </w:t>
      </w:r>
      <w:r>
        <w:rPr>
          <w:b/>
        </w:rPr>
        <w:t>Falk-Krzesinski HJ</w:t>
      </w:r>
      <w:r>
        <w:rPr/>
        <w:t xml:space="preserve">, </w:t>
      </w:r>
      <w:r>
        <w:rPr>
          <w:b/>
        </w:rPr>
        <w:t>Hanafi S</w:t>
      </w:r>
      <w:r>
        <w:rPr/>
        <w:t xml:space="preserve">, </w:t>
      </w:r>
      <w:r>
        <w:rPr>
          <w:b/>
        </w:rPr>
        <w:t>Herbert R</w:t>
      </w:r>
      <w:r>
        <w:rPr/>
        <w:t xml:space="preserve">, </w:t>
      </w:r>
      <w:r>
        <w:rPr>
          <w:b/>
        </w:rPr>
        <w:t>Huggett S</w:t>
      </w:r>
      <w:r>
        <w:rPr/>
        <w:t xml:space="preserve">, </w:t>
      </w:r>
      <w:r>
        <w:rPr>
          <w:b/>
        </w:rPr>
        <w:t>Tobin S</w:t>
      </w:r>
      <w:r>
        <w:rPr/>
        <w:t>. 2017. Gender in the global research landscape. Elsevier.</w:t>
      </w:r>
    </w:p>
    <w:p>
      <w:pPr>
        <w:pStyle w:val="TextBody"/>
        <w:spacing w:lineRule="auto" w:line="480"/>
        <w:rPr/>
      </w:pPr>
      <w:r>
        <w:rPr/>
        <w:t xml:space="preserve">55. </w:t>
      </w:r>
      <w:r>
        <w:rPr>
          <w:b/>
        </w:rPr>
        <w:t>Armstrong MA</w:t>
      </w:r>
      <w:r>
        <w:rPr/>
        <w:t xml:space="preserve">, </w:t>
      </w:r>
      <w:r>
        <w:rPr>
          <w:b/>
        </w:rPr>
        <w:t>Jovanovic J</w:t>
      </w:r>
      <w:r>
        <w:rPr/>
        <w:t xml:space="preserve">. 2015. STARTING AT THE CROSSROADS: INTERSECTIONAL APPROACHES TO INSTITUTIONALLY SUPPORTING UNDERREPRESENTED MINORITY WOMEN STEM FACULTY. Journal of Women and Minorities in Science and Engineering </w:t>
      </w:r>
      <w:r>
        <w:rPr>
          <w:b/>
        </w:rPr>
        <w:t>21</w:t>
      </w:r>
      <w:r>
        <w:rPr/>
        <w:t>:141–157. doi:</w:t>
      </w:r>
      <w:hyperlink r:id="rId39">
        <w:r>
          <w:rPr>
            <w:rStyle w:val="InternetLink"/>
          </w:rPr>
          <w:t>10.1615/jwomenminorscieneng.2015011275</w:t>
        </w:r>
      </w:hyperlink>
      <w:r>
        <w:rPr/>
        <w:t>.</w:t>
      </w:r>
    </w:p>
    <w:p>
      <w:pPr>
        <w:pStyle w:val="TextBody"/>
        <w:spacing w:lineRule="auto" w:line="480"/>
        <w:rPr/>
      </w:pPr>
      <w:r>
        <w:rPr/>
        <w:t xml:space="preserve">56. </w:t>
      </w:r>
      <w:r>
        <w:rPr>
          <w:b/>
        </w:rPr>
        <w:t>Xu YJ</w:t>
      </w:r>
      <w:r>
        <w:rPr/>
        <w:t xml:space="preserve">. 2008. Gender Disparity in STEM Disciplines: A Study of Faculty Attrition and Turnover Intentions. Research in Higher Education </w:t>
      </w:r>
      <w:r>
        <w:rPr>
          <w:b/>
        </w:rPr>
        <w:t>49</w:t>
      </w:r>
      <w:r>
        <w:rPr/>
        <w:t>:607–624. doi:</w:t>
      </w:r>
      <w:hyperlink r:id="rId40">
        <w:r>
          <w:rPr>
            <w:rStyle w:val="InternetLink"/>
          </w:rPr>
          <w:t>10.1007/s11162-008-9097-4</w:t>
        </w:r>
      </w:hyperlink>
      <w:r>
        <w:rPr/>
        <w:t>.</w:t>
      </w:r>
    </w:p>
    <w:p>
      <w:pPr>
        <w:pStyle w:val="TextBody"/>
        <w:spacing w:lineRule="auto" w:line="480"/>
        <w:rPr/>
      </w:pPr>
      <w:r>
        <w:rPr/>
        <w:t xml:space="preserve">57. </w:t>
      </w:r>
      <w:r>
        <w:rPr>
          <w:b/>
        </w:rPr>
        <w:t>Whittaker JA</w:t>
      </w:r>
      <w:r>
        <w:rPr/>
        <w:t xml:space="preserve">, </w:t>
      </w:r>
      <w:r>
        <w:rPr>
          <w:b/>
        </w:rPr>
        <w:t>Montgomery BL</w:t>
      </w:r>
      <w:r>
        <w:rPr/>
        <w:t xml:space="preserve">, </w:t>
      </w:r>
      <w:r>
        <w:rPr>
          <w:b/>
        </w:rPr>
        <w:t>Martinez Acosta VG</w:t>
      </w:r>
      <w:r>
        <w:rPr/>
        <w:t xml:space="preserve">. 2015. Retention of Underrepresented Minority Faculty: Strategic Initiatives for Institutional Value Proposition Based on Perspectives from a Range of Academic Institutions. Journal of undergraduate neuroscience education: JUNE: a publication of FUN, Faculty for Undergraduate Neuroscience </w:t>
      </w:r>
      <w:r>
        <w:rPr>
          <w:b/>
        </w:rPr>
        <w:t>13</w:t>
      </w:r>
      <w:r>
        <w:rPr/>
        <w:t>:A136–145.</w:t>
      </w:r>
    </w:p>
    <w:p>
      <w:pPr>
        <w:pStyle w:val="TextBody"/>
        <w:spacing w:lineRule="auto" w:line="480"/>
        <w:rPr/>
      </w:pPr>
      <w:r>
        <w:rPr/>
        <w:t xml:space="preserve">58. </w:t>
      </w:r>
      <w:r>
        <w:rPr>
          <w:b/>
        </w:rPr>
        <w:t>Johnson MDL</w:t>
      </w:r>
      <w:r>
        <w:rPr/>
        <w:t xml:space="preserve">. 2019. mSphere of Influence: Hiring of Underrepresented Minority Assistant Professors in Medical School Basic Science Departments Has a Long Way To Go. mSphere </w:t>
      </w:r>
      <w:r>
        <w:rPr>
          <w:b/>
        </w:rPr>
        <w:t>4</w:t>
      </w:r>
      <w:r>
        <w:rPr/>
        <w:t>. doi:</w:t>
      </w:r>
      <w:hyperlink r:id="rId41">
        <w:r>
          <w:rPr>
            <w:rStyle w:val="InternetLink"/>
          </w:rPr>
          <w:t>10.1128/mSphere.00599-19</w:t>
        </w:r>
      </w:hyperlink>
      <w:r>
        <w:rPr/>
        <w:t>.</w:t>
      </w:r>
    </w:p>
    <w:p>
      <w:pPr>
        <w:pStyle w:val="TextBody"/>
        <w:spacing w:lineRule="auto" w:line="480"/>
        <w:rPr/>
      </w:pPr>
      <w:r>
        <w:rPr/>
        <w:t xml:space="preserve">59. </w:t>
      </w:r>
      <w:r>
        <w:rPr>
          <w:b/>
        </w:rPr>
        <w:t>Loftus GR</w:t>
      </w:r>
      <w:r>
        <w:rPr/>
        <w:t xml:space="preserve">. 1971. Comparison of recognition and recall in a continuous memory task. Journal of Experimental Psychology </w:t>
      </w:r>
      <w:r>
        <w:rPr>
          <w:b/>
        </w:rPr>
        <w:t>91</w:t>
      </w:r>
      <w:r>
        <w:rPr/>
        <w:t>:220–226. doi:</w:t>
      </w:r>
      <w:hyperlink r:id="rId42">
        <w:r>
          <w:rPr>
            <w:rStyle w:val="InternetLink"/>
          </w:rPr>
          <w:t>10.1037/h0031841</w:t>
        </w:r>
      </w:hyperlink>
      <w:r>
        <w:rPr/>
        <w:t>.</w:t>
      </w:r>
    </w:p>
    <w:p>
      <w:pPr>
        <w:pStyle w:val="TextBody"/>
        <w:spacing w:lineRule="auto" w:line="480"/>
        <w:rPr/>
      </w:pPr>
      <w:r>
        <w:rPr/>
        <w:t xml:space="preserve">60. </w:t>
      </w:r>
      <w:r>
        <w:rPr>
          <w:b/>
        </w:rPr>
        <w:t>Johnson J</w:t>
      </w:r>
      <w:r>
        <w:rPr/>
        <w:t xml:space="preserve">. 2014. Recognition is easy; recall is hard, pp. 121–129. </w:t>
      </w:r>
      <w:r>
        <w:rPr>
          <w:i/>
        </w:rPr>
        <w:t>In</w:t>
      </w:r>
      <w:r>
        <w:rPr/>
        <w:t xml:space="preserve"> Designing with the mind in mind. Elsevier.</w:t>
      </w:r>
    </w:p>
    <w:p>
      <w:pPr>
        <w:pStyle w:val="TextBody"/>
        <w:spacing w:lineRule="auto" w:line="480"/>
        <w:rPr/>
      </w:pPr>
      <w:r>
        <w:rPr/>
        <w:t xml:space="preserve">61. </w:t>
      </w:r>
      <w:r>
        <w:rPr>
          <w:b/>
        </w:rPr>
        <w:t>Baucom R</w:t>
      </w:r>
      <w:r>
        <w:rPr/>
        <w:t xml:space="preserve">, </w:t>
      </w:r>
      <w:r>
        <w:rPr>
          <w:b/>
        </w:rPr>
        <w:t>Duffy M</w:t>
      </w:r>
      <w:r>
        <w:rPr/>
        <w:t xml:space="preserve">. 2019. DiversifyEEB. </w:t>
      </w:r>
      <w:hyperlink r:id="rId43">
        <w:r>
          <w:rPr>
            <w:rStyle w:val="InternetLink"/>
          </w:rPr>
          <w:t>https://diversifyeeb.com</w:t>
        </w:r>
      </w:hyperlink>
      <w:r>
        <w:rPr/>
        <w:t>.</w:t>
      </w:r>
    </w:p>
    <w:p>
      <w:pPr>
        <w:pStyle w:val="TextBody"/>
        <w:spacing w:lineRule="auto" w:line="480"/>
        <w:rPr/>
      </w:pPr>
      <w:r>
        <w:rPr/>
        <w:t xml:space="preserve">62. </w:t>
      </w:r>
      <w:r>
        <w:rPr>
          <w:b/>
        </w:rPr>
        <w:t>Duffy M</w:t>
      </w:r>
      <w:r>
        <w:rPr/>
        <w:t xml:space="preserve">, </w:t>
      </w:r>
      <w:r>
        <w:rPr>
          <w:b/>
        </w:rPr>
        <w:t>McNeil AJ</w:t>
      </w:r>
      <w:r>
        <w:rPr/>
        <w:t xml:space="preserve">. 2019. DiversifyChemistry. </w:t>
      </w:r>
      <w:hyperlink r:id="rId44">
        <w:r>
          <w:rPr>
            <w:rStyle w:val="InternetLink"/>
          </w:rPr>
          <w:t>https://diversifychemistry.com</w:t>
        </w:r>
      </w:hyperlink>
      <w:r>
        <w:rPr/>
        <w:t>.</w:t>
      </w:r>
    </w:p>
    <w:p>
      <w:pPr>
        <w:pStyle w:val="TextBody"/>
        <w:spacing w:lineRule="auto" w:line="480"/>
        <w:rPr/>
      </w:pPr>
      <w:r>
        <w:rPr/>
        <w:t xml:space="preserve">63. </w:t>
      </w:r>
      <w:r>
        <w:rPr>
          <w:b/>
        </w:rPr>
        <w:t>Hagan AK</w:t>
      </w:r>
      <w:r>
        <w:rPr/>
        <w:t xml:space="preserve">, </w:t>
      </w:r>
      <w:r>
        <w:rPr>
          <w:b/>
        </w:rPr>
        <w:t>Pollet RM</w:t>
      </w:r>
      <w:r>
        <w:rPr/>
        <w:t xml:space="preserve">. 2019. DiversifyMicrobiology. GitHub repository. </w:t>
      </w:r>
      <w:hyperlink r:id="rId45">
        <w:r>
          <w:rPr>
            <w:rStyle w:val="InternetLink"/>
          </w:rPr>
          <w:t>https://github.com/diversifymicrobiology.github.io</w:t>
        </w:r>
      </w:hyperlink>
      <w:r>
        <w:rPr/>
        <w:t>; GitHub.</w:t>
      </w:r>
    </w:p>
    <w:p>
      <w:pPr>
        <w:pStyle w:val="TextBody"/>
        <w:spacing w:lineRule="auto" w:line="480"/>
        <w:rPr/>
      </w:pPr>
      <w:r>
        <w:rPr/>
        <w:t xml:space="preserve">64. </w:t>
      </w:r>
      <w:r>
        <w:rPr>
          <w:b/>
        </w:rPr>
        <w:t>Hagan AK</w:t>
      </w:r>
      <w:r>
        <w:rPr/>
        <w:t xml:space="preserve">, </w:t>
      </w:r>
      <w:r>
        <w:rPr>
          <w:b/>
        </w:rPr>
        <w:t>Pollet RM</w:t>
      </w:r>
      <w:r>
        <w:rPr/>
        <w:t xml:space="preserve">. 2019. DiversifyImmunology. GitHub repository. </w:t>
      </w:r>
      <w:hyperlink r:id="rId46">
        <w:r>
          <w:rPr>
            <w:rStyle w:val="InternetLink"/>
          </w:rPr>
          <w:t>https://github.com/diversifyimmunology.github.io</w:t>
        </w:r>
      </w:hyperlink>
      <w:r>
        <w:rPr/>
        <w:t>; GitHub.</w:t>
      </w:r>
      <w:r>
        <w:br w:type="page"/>
      </w:r>
    </w:p>
    <w:p>
      <w:pPr>
        <w:pStyle w:val="TextBody"/>
        <w:rPr/>
      </w:pPr>
      <w:r>
        <w:rPr>
          <w:b/>
        </w:rPr>
        <w:t>Figure 1. The demographics of invited speakers, hosting faculty, and trainees.</w:t>
      </w:r>
      <w:r>
        <w:rPr/>
        <w:t xml:space="preserve"> A) The proportion of women in each academic role. B) The proportion of each academic role represented by individuals that are Caucasian (left), Historically Underrepresented Minorities (HURM, center) or Non-Caucasian/Non-HURM (NCNH, right). C-D) The percent of lectureships awarded to individuals that are C) Caucasian, HURM, or NCNH and D) Caucasian, HURM, or NCNH by gender.</w:t>
      </w:r>
    </w:p>
    <w:p>
      <w:pPr>
        <w:pStyle w:val="TextBody"/>
        <w:rPr>
          <w:b/>
          <w:b/>
        </w:rPr>
      </w:pPr>
      <w:r>
        <w:rPr>
          <w:b/>
        </w:rPr>
      </w:r>
    </w:p>
    <w:p>
      <w:pPr>
        <w:pStyle w:val="TextBody"/>
        <w:spacing w:before="180" w:after="180"/>
        <w:rPr/>
      </w:pPr>
      <w:r>
        <w:rPr>
          <w:b/>
        </w:rPr>
        <w:t>Table 1. Suggestions and resources to increase invited speaker diversity.</w:t>
      </w:r>
    </w:p>
    <w:sectPr>
      <w:type w:val="nextPage"/>
      <w:pgSz w:w="12240" w:h="15840"/>
      <w:pgMar w:left="1800" w:right="1800" w:header="0" w:top="1440" w:footer="0" w:bottom="1440"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000000"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000000"/>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000000"/>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000000"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enter" w:pos="4320" w:leader="none"/>
        <w:tab w:val="right" w:pos="8640" w:leader="none"/>
      </w:tabs>
    </w:pPr>
    <w:rPr/>
  </w:style>
  <w:style w:type="paragraph" w:styleId="Header">
    <w:name w:val="Header"/>
    <w:basedOn w:val="Normal"/>
    <w:pPr>
      <w:suppressLineNumbers/>
      <w:tabs>
        <w:tab w:val="center" w:pos="4320" w:leader="none"/>
        <w:tab w:val="right" w:pos="8640" w:leader="none"/>
      </w:tab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khagan@alliancescc.com" TargetMode="External"/><Relationship Id="rId3" Type="http://schemas.openxmlformats.org/officeDocument/2006/relationships/hyperlink" Target="https://github.com/akhagan/Hagan_SpeakerDiversity_JMBE_2019" TargetMode="External"/><Relationship Id="rId4" Type="http://schemas.openxmlformats.org/officeDocument/2006/relationships/hyperlink" Target="https://github.com/diversifymicrobiology/DiversifyMicrobiology.github.io/" TargetMode="External"/><Relationship Id="rId5" Type="http://schemas.openxmlformats.org/officeDocument/2006/relationships/hyperlink" Target="https://doi.org/10.1187/cbe.16-09-0287" TargetMode="External"/><Relationship Id="rId6" Type="http://schemas.openxmlformats.org/officeDocument/2006/relationships/hyperlink" Target="https://doi.org/10.1093/biosci/biu076" TargetMode="External"/><Relationship Id="rId7" Type="http://schemas.openxmlformats.org/officeDocument/2006/relationships/hyperlink" Target="https://doi.org/10.1001/jama.284.9.1085" TargetMode="External"/><Relationship Id="rId8" Type="http://schemas.openxmlformats.org/officeDocument/2006/relationships/hyperlink" Target="https://doi.org/10.1371/journal.pone.0114736" TargetMode="External"/><Relationship Id="rId9" Type="http://schemas.openxmlformats.org/officeDocument/2006/relationships/hyperlink" Target="https://doi.org/10.1371/journal.pone.0190606" TargetMode="External"/><Relationship Id="rId10" Type="http://schemas.openxmlformats.org/officeDocument/2006/relationships/hyperlink" Target="https://doi.org/10.1001/jama.2015.10680" TargetMode="External"/><Relationship Id="rId11" Type="http://schemas.openxmlformats.org/officeDocument/2006/relationships/hyperlink" Target="https://doi.org/10.1097/acm.0b013e31823be028" TargetMode="External"/><Relationship Id="rId12" Type="http://schemas.openxmlformats.org/officeDocument/2006/relationships/hyperlink" Target="https://doi.org/10.1016/s0140-6736(18)33188-x" TargetMode="External"/><Relationship Id="rId13" Type="http://schemas.openxmlformats.org/officeDocument/2006/relationships/hyperlink" Target="https://doi.org/10.1007/bf00287858" TargetMode="External"/><Relationship Id="rId14" Type="http://schemas.openxmlformats.org/officeDocument/2006/relationships/hyperlink" Target="https://doi.org/10.1086/511799" TargetMode="External"/><Relationship Id="rId15" Type="http://schemas.openxmlformats.org/officeDocument/2006/relationships/hyperlink" Target="https://doi.org/10.1111/j.0022-4537.2004.00383.x" TargetMode="External"/><Relationship Id="rId16" Type="http://schemas.openxmlformats.org/officeDocument/2006/relationships/hyperlink" Target="https://doi.org/10.3390/socsci6010029" TargetMode="External"/><Relationship Id="rId17" Type="http://schemas.openxmlformats.org/officeDocument/2006/relationships/hyperlink" Target="https://doi.org/10.1177/2332858418816658" TargetMode="External"/><Relationship Id="rId18" Type="http://schemas.openxmlformats.org/officeDocument/2006/relationships/hyperlink" Target="https://doi.org/10.1007/s11606-010-1478-7" TargetMode="External"/><Relationship Id="rId19" Type="http://schemas.openxmlformats.org/officeDocument/2006/relationships/hyperlink" Target="https://doi.org/10.3402/meo.v19.24768" TargetMode="External"/><Relationship Id="rId20" Type="http://schemas.openxmlformats.org/officeDocument/2006/relationships/hyperlink" Target="https://doi.org/10.1080/01973533.2016.1209757" TargetMode="External"/><Relationship Id="rId21" Type="http://schemas.openxmlformats.org/officeDocument/2006/relationships/hyperlink" Target="https://doi.org/10.1080/1047840x.2011.620935" TargetMode="External"/><Relationship Id="rId22" Type="http://schemas.openxmlformats.org/officeDocument/2006/relationships/hyperlink" Target="https://doi.org/10.7554/elife.48774" TargetMode="External"/><Relationship Id="rId23" Type="http://schemas.openxmlformats.org/officeDocument/2006/relationships/hyperlink" Target="https://doi.org/10.1177/0033354918760574" TargetMode="External"/><Relationship Id="rId24" Type="http://schemas.openxmlformats.org/officeDocument/2006/relationships/hyperlink" Target="https://doi.org/10.1080/23322969.2019.1667859" TargetMode="External"/><Relationship Id="rId25" Type="http://schemas.openxmlformats.org/officeDocument/2006/relationships/hyperlink" Target="https://doi.org/10.1177/0013161x07307794" TargetMode="External"/><Relationship Id="rId26" Type="http://schemas.openxmlformats.org/officeDocument/2006/relationships/hyperlink" Target="https://doi.org/10.1080/13613324.2016.1260227" TargetMode="External"/><Relationship Id="rId27" Type="http://schemas.openxmlformats.org/officeDocument/2006/relationships/hyperlink" Target="https://doi.org/10.7554/elife.21393" TargetMode="External"/><Relationship Id="rId28" Type="http://schemas.openxmlformats.org/officeDocument/2006/relationships/hyperlink" Target="https://doi.org/10.1073/pnas.1708414115" TargetMode="External"/><Relationship Id="rId29" Type="http://schemas.openxmlformats.org/officeDocument/2006/relationships/hyperlink" Target="https://doi.org/10.1128/JVI.00739-17" TargetMode="External"/><Relationship Id="rId30" Type="http://schemas.openxmlformats.org/officeDocument/2006/relationships/hyperlink" Target="https://doi.org/10.1128/mBio.00846-13" TargetMode="External"/><Relationship Id="rId31" Type="http://schemas.openxmlformats.org/officeDocument/2006/relationships/hyperlink" Target="https://doi.org/10.1038/ni.3707" TargetMode="External"/><Relationship Id="rId32" Type="http://schemas.openxmlformats.org/officeDocument/2006/relationships/hyperlink" Target="https://doi.org/10.7554/elife.36399" TargetMode="External"/><Relationship Id="rId33" Type="http://schemas.openxmlformats.org/officeDocument/2006/relationships/hyperlink" Target="https://doi.org/10.19030/jber.v2i4.2872" TargetMode="External"/><Relationship Id="rId34" Type="http://schemas.openxmlformats.org/officeDocument/2006/relationships/hyperlink" Target="https://doi.org/10.7554/elife.21718" TargetMode="External"/><Relationship Id="rId35" Type="http://schemas.openxmlformats.org/officeDocument/2006/relationships/hyperlink" Target="https://doi.org/10.1002/ece3.4993" TargetMode="External"/><Relationship Id="rId36" Type="http://schemas.openxmlformats.org/officeDocument/2006/relationships/hyperlink" Target="https://doi.org/10.1001/jama.1994.03520020065018" TargetMode="External"/><Relationship Id="rId37" Type="http://schemas.openxmlformats.org/officeDocument/2006/relationships/hyperlink" Target="https://doi.org/10.1177/2158244013499162" TargetMode="External"/><Relationship Id="rId38" Type="http://schemas.openxmlformats.org/officeDocument/2006/relationships/hyperlink" Target="https://doi.org/10.1007/s11162-008-9097-4" TargetMode="External"/><Relationship Id="rId39" Type="http://schemas.openxmlformats.org/officeDocument/2006/relationships/hyperlink" Target="https://doi.org/10.1615/jwomenminorscieneng.2015011275" TargetMode="External"/><Relationship Id="rId40" Type="http://schemas.openxmlformats.org/officeDocument/2006/relationships/hyperlink" Target="https://doi.org/10.1007/s11162-008-9097-4" TargetMode="External"/><Relationship Id="rId41" Type="http://schemas.openxmlformats.org/officeDocument/2006/relationships/hyperlink" Target="https://doi.org/10.1128/mSphere.00599-19" TargetMode="External"/><Relationship Id="rId42" Type="http://schemas.openxmlformats.org/officeDocument/2006/relationships/hyperlink" Target="https://doi.org/10.1037/h0031841" TargetMode="External"/><Relationship Id="rId43" Type="http://schemas.openxmlformats.org/officeDocument/2006/relationships/hyperlink" Target="https://diversifyeeb.com/" TargetMode="External"/><Relationship Id="rId44" Type="http://schemas.openxmlformats.org/officeDocument/2006/relationships/hyperlink" Target="https://diversifychemistry.com/" TargetMode="External"/><Relationship Id="rId45" Type="http://schemas.openxmlformats.org/officeDocument/2006/relationships/hyperlink" Target="https://github.com/diversifymicrobiology.github.io" TargetMode="External"/><Relationship Id="rId46" Type="http://schemas.openxmlformats.org/officeDocument/2006/relationships/hyperlink" Target="https://github.com/diversifyimmunology.github.io" TargetMode="Externa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2020-02-07T17:19:12Z</dcterms:created>
  <dc:creator/>
  <dc:description/>
  <dc:language>en-US</dc:language>
  <cp:lastModifiedBy/>
  <dcterms:modified xsi:type="dcterms:W3CDTF">2020-02-07T12:32:37Z</dcterms:modified>
  <cp:revision>4</cp:revision>
  <dc:subject/>
  <dc:title>Suggestions for improving invited speaker diversity to reflect trainee diversity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