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Policy</w:t>
      </w:r>
      <w:r>
        <w:rPr>
          <w:b/>
        </w:rPr>
        <w:t xml:space="preserve"> </w:t>
      </w:r>
      <w:r>
        <w:rPr>
          <w:b/>
        </w:rPr>
        <w:t xml:space="preserve">should</w:t>
      </w:r>
      <w:r>
        <w:rPr>
          <w:b/>
        </w:rPr>
        <w:t xml:space="preserve"> </w:t>
      </w:r>
      <w:r>
        <w:rPr>
          <w:b/>
        </w:rPr>
        <w:t xml:space="preserve">change</w:t>
      </w:r>
      <w:r>
        <w:rPr>
          <w:b/>
        </w:rPr>
        <w:t xml:space="preserve"> </w:t>
      </w:r>
      <w:r>
        <w:rPr>
          <w:b/>
        </w:rPr>
        <w:t xml:space="preserve">to</w:t>
      </w:r>
      <w:r>
        <w:rPr>
          <w:b/>
        </w:rPr>
        <w:t xml:space="preserve"> </w:t>
      </w:r>
      <w:r>
        <w:rPr>
          <w:b/>
        </w:rPr>
        <w:t xml:space="preserve">improve</w:t>
      </w:r>
      <w:r>
        <w:rPr>
          <w:b/>
        </w:rPr>
        <w:t xml:space="preserve"> </w:t>
      </w:r>
      <w:r>
        <w:rPr>
          <w:b/>
        </w:rPr>
        <w:t xml:space="preserve">invited</w:t>
      </w:r>
      <w:r>
        <w:rPr>
          <w:b/>
        </w:rPr>
        <w:t xml:space="preserve"> </w:t>
      </w:r>
      <w:r>
        <w:rPr>
          <w:b/>
        </w:rPr>
        <w:t xml:space="preserve">speaker</w:t>
      </w:r>
      <w:r>
        <w:rPr>
          <w:b/>
        </w:rPr>
        <w:t xml:space="preserve"> </w:t>
      </w:r>
      <w:r>
        <w:rPr>
          <w:b/>
        </w:rPr>
        <w:t xml:space="preserve">diversity</w:t>
      </w:r>
      <w:r>
        <w:rPr>
          <w:b/>
        </w:rPr>
        <w:t xml:space="preserve"> </w:t>
      </w:r>
      <w:r>
        <w:rPr>
          <w:b/>
        </w:rPr>
        <w:t xml:space="preserve">and</w:t>
      </w:r>
      <w:r>
        <w:rPr>
          <w:b/>
        </w:rPr>
        <w:t xml:space="preserve"> </w:t>
      </w:r>
      <w:r>
        <w:rPr>
          <w:b/>
        </w:rPr>
        <w:t xml:space="preserve">retain</w:t>
      </w:r>
      <w:r>
        <w:rPr>
          <w:b/>
        </w:rPr>
        <w:t xml:space="preserve"> </w:t>
      </w:r>
      <w:r>
        <w:rPr>
          <w:b/>
        </w:rPr>
        <w:t xml:space="preserve">trainees</w:t>
      </w:r>
    </w:p>
    <w:p>
      <w:pPr>
        <w:pStyle w:val="FirstParagraph"/>
      </w:pPr>
    </w:p>
    <w:p>
      <w:pPr>
        <w:pStyle w:val="BodyText"/>
      </w:pPr>
      <w:r>
        <w:t xml:space="preserve">Running title: Suggestions to improve invited speaker diversity</w:t>
      </w:r>
    </w:p>
    <w:p>
      <w:pPr>
        <w:pStyle w:val="BodyText"/>
      </w:pPr>
    </w:p>
    <w:p>
      <w:pPr>
        <w:pStyle w:val="BodyText"/>
      </w:pPr>
      <w:r>
        <w:t xml:space="preserve">Ada K. Hagan, Ph.D.</w:t>
      </w:r>
      <m:oMath>
        <m:sSup>
          <m:e>
            <m:r>
              <m:t/>
            </m:r>
          </m:e>
          <m:sup>
            <m:r>
              <m:t>1</m:t>
            </m:r>
          </m:sup>
        </m:sSup>
        <m:r>
          <m:t>†</m:t>
        </m:r>
      </m:oMath>
      <w:r>
        <w:t xml:space="preserve">, Rebecca M. Pollet, Ph.D.</w:t>
      </w:r>
      <m:oMath>
        <m:sSup>
          <m:e>
            <m:r>
              <m:t/>
            </m:r>
          </m:e>
          <m:sup>
            <m:r>
              <m:t>1</m:t>
            </m:r>
          </m:sup>
        </m:sSup>
      </m:oMath>
      <w:r>
        <w:t xml:space="preserve">, and Josie Libertucci, Ph.D.</w:t>
      </w:r>
      <m:oMath>
        <m:sSup>
          <m:e>
            <m:r>
              <m:t/>
            </m:r>
          </m:e>
          <m:sup>
            <m:r>
              <m:t>2</m:t>
            </m:r>
          </m:sup>
        </m:sSup>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akhagan@umich.edu</w:t>
        </w:r>
      </w:hyperlink>
    </w:p>
    <w:p>
      <w:pPr>
        <w:pStyle w:val="BodyText"/>
      </w:pPr>
      <w:r>
        <w:t xml:space="preserve">1. Department of Microbiology &amp; Immunology, University of Michigan, Ann Arbor, Michigan</w:t>
      </w:r>
    </w:p>
    <w:p>
      <w:pPr>
        <w:pStyle w:val="BodyText"/>
      </w:pPr>
      <w:r>
        <w:t xml:space="preserve">2. Farncombe Family Digestive Health Research Institute, Department of Medicine, McMaster University, Hamilton, Ontario, Canada</w:t>
      </w:r>
    </w:p>
    <w:p>
      <w:pPr>
        <w:pStyle w:val="BodyText"/>
      </w:pPr>
      <w:r>
        <w:t xml:space="preserve">Figures: 1</w:t>
      </w:r>
    </w:p>
    <w:p>
      <w:pPr>
        <w:pStyle w:val="BodyText"/>
      </w:pPr>
      <w:r>
        <w:t xml:space="preserve">Tables: 1</w:t>
      </w:r>
    </w:p>
    <w:p>
      <w:pPr>
        <w:pStyle w:val="BodyText"/>
      </w:pPr>
      <w:r>
        <w:t xml:space="preserve">Financial support: Department of Microbiology &amp; Immunology, University of Michigan</w:t>
      </w:r>
    </w:p>
    <w:p>
      <w:pPr>
        <w:pStyle w:val="Heading2"/>
      </w:pPr>
      <w:bookmarkStart w:id="22" w:name="conflicts-of-interest"/>
      <w:bookmarkEnd w:id="22"/>
      <w:r>
        <w:t xml:space="preserve">Conflicts of Interest</w:t>
      </w:r>
    </w:p>
    <w:p>
      <w:pPr>
        <w:pStyle w:val="FirstParagraph"/>
      </w:pPr>
    </w:p>
    <w:p>
      <w:pPr>
        <w:pStyle w:val="BodyText"/>
      </w:pPr>
      <w:r>
        <w:t xml:space="preserve">All authors affirm that there are no conflicts of interest.</w:t>
      </w:r>
    </w:p>
    <w:p>
      <w:pPr>
        <w:pStyle w:val="BodyText"/>
      </w:pPr>
    </w:p>
    <w:p>
      <w:pPr>
        <w:pStyle w:val="Heading2"/>
      </w:pPr>
      <w:bookmarkStart w:id="23" w:name="abstract"/>
      <w:bookmarkEnd w:id="23"/>
      <w:r>
        <w:t xml:space="preserve">Abstract</w:t>
      </w:r>
    </w:p>
    <w:p>
      <w:pPr>
        <w:pStyle w:val="FirstParagraph"/>
      </w:pPr>
      <w:r>
        <w:t xml:space="preserve">The biological sciences have a problem retaining white women and underrepresented minorities in academia. Despite increases in the representation of these groups in faculty candidate pools, they are still underrepresented at the faculty level, particularly at the Full professor level. Faculty are often invited to departments at other universities to present on their research, a highly valued offer that provides an opportunity for collaborations and networking. This is also an opportunity for trainees to interact with additional faculty from underrepresented groups. In this manuscript, we compare invited-speaker demographics to the current trainee demographics and find that trainees are not proportionally represented by speakers invited to the department. Our investigation prompted changes in policy for how invited speakers are selected in the future to invite a more diverse group of scientists. To facilitate this process, we developed a set of tips and a web-based resource that allows scientists, committees, and moderators to identify members of under-served groups. These resources can be easily adapted by other fields or sub-fields to promote inclusion and diversity at seminar series’, conferences, and colloquia.</w:t>
      </w:r>
    </w:p>
    <w:p>
      <w:pPr>
        <w:pStyle w:val="Heading2"/>
      </w:pPr>
      <w:bookmarkStart w:id="24" w:name="keywords"/>
      <w:bookmarkEnd w:id="24"/>
      <w:r>
        <w:t xml:space="preserve">Keywords</w:t>
      </w:r>
    </w:p>
    <w:p>
      <w:pPr>
        <w:pStyle w:val="FirstParagraph"/>
      </w:pPr>
      <w:r>
        <w:t xml:space="preserve">inclusion, diversity, invited speakers, academia, graduate programs</w:t>
      </w:r>
    </w:p>
    <w:p>
      <w:pPr>
        <w:pStyle w:val="Heading2"/>
      </w:pPr>
      <w:bookmarkStart w:id="25" w:name="background"/>
      <w:bookmarkEnd w:id="25"/>
      <w:r>
        <w:t xml:space="preserve">Background</w:t>
      </w:r>
    </w:p>
    <w:p>
      <w:pPr>
        <w:pStyle w:val="FirstParagraph"/>
      </w:pPr>
      <w:r>
        <w:t xml:space="preserve">Long-standing systemic bias, sexism, and racism have contributed to the under-representation of many racial and ethnic groups, as well as women, in science, technology, engineering, and math (STEM) fields</w:t>
      </w:r>
      <w:r>
        <w:t xml:space="preserve"> </w:t>
      </w:r>
      <w:r>
        <w:t xml:space="preserve">(1–4)</w:t>
      </w:r>
      <w:r>
        <w:t xml:space="preserve">. Specifically, within the field of biomedical research in the United States, the proportion of underrepresented minorities at the full professor level has remained consistently low at 4% (survey data taken from the NIH from 2001 to 2013)</w:t>
      </w:r>
      <w:r>
        <w:t xml:space="preserve"> </w:t>
      </w:r>
      <w:r>
        <w:t xml:space="preserve">(5)</w:t>
      </w:r>
      <w:r>
        <w:t xml:space="preserve">. This number is considerably lower compared to the current population, where minorities compose 38% of the population</w:t>
      </w:r>
      <w:r>
        <w:t xml:space="preserve"> </w:t>
      </w:r>
      <w:r>
        <w:t xml:space="preserve">(6)</w:t>
      </w:r>
      <w:r>
        <w:t xml:space="preserve">. Indeed, it is an understatement to say that minorities remain underrepresented in the biomedical sciences as 96% of full professors are currently Caucasian</w:t>
      </w:r>
      <w:r>
        <w:t xml:space="preserve"> </w:t>
      </w:r>
      <w:r>
        <w:t xml:space="preserve">(5)</w:t>
      </w:r>
      <w:r>
        <w:t xml:space="preserve">. Similar discrepancies exist for women in biomedical sciences as full professorships are currently held mostly by men</w:t>
      </w:r>
      <w:r>
        <w:t xml:space="preserve"> </w:t>
      </w:r>
      <w:r>
        <w:t xml:space="preserve">(7, 8)</w:t>
      </w:r>
      <w:r>
        <w:t xml:space="preserve">. Organizational culture that supports inclusion of all individuals will not suffice in retaining historically underrepresented minorities (HURM) in the U.S., as well as non-Caucasian individuals, and women in STEM fields</w:t>
      </w:r>
      <w:r>
        <w:t xml:space="preserve"> </w:t>
      </w:r>
      <w:r>
        <w:t xml:space="preserve">(9)</w:t>
      </w:r>
      <w:r>
        <w:t xml:space="preserve">. Policy changes are needed to support inclusion of all individuals, particularly in the biomedical sciences</w:t>
      </w:r>
      <w:r>
        <w:t xml:space="preserve"> </w:t>
      </w:r>
      <w:r>
        <w:t xml:space="preserve">(10)</w:t>
      </w:r>
      <w:r>
        <w:t xml:space="preserve">.</w:t>
      </w:r>
    </w:p>
    <w:p>
      <w:pPr>
        <w:pStyle w:val="BodyText"/>
      </w:pPr>
      <w:r>
        <w:t xml:space="preserve">As demographics of faculty within the biomedical sciences remains skewed towards Caucasian males, the demographics of trainees (graduate students and postdocs) is becoming more diverse</w:t>
      </w:r>
      <w:r>
        <w:t xml:space="preserve"> </w:t>
      </w:r>
      <w:r>
        <w:t xml:space="preserve">(5)</w:t>
      </w:r>
      <w:r>
        <w:t xml:space="preserve">. This means that there is a lack of diverse representation of scientists for trainees. To increase retention of HURM, non-Caucasian individuals, and women in biomedical fields, it is important for trainees to have visual representations of themselves as scientists. The importance of representation in retaining a diverse group of individuals in STEM fields is supported by social role theory</w:t>
      </w:r>
      <w:r>
        <w:t xml:space="preserve"> </w:t>
      </w:r>
      <w:r>
        <w:t xml:space="preserve">(11)</w:t>
      </w:r>
      <w:r>
        <w:t xml:space="preserve">. Individuals tend to make inferences about characteristics that are needed to be successful in a given role by examining individuals that most occupy that role</w:t>
      </w:r>
      <w:r>
        <w:t xml:space="preserve"> </w:t>
      </w:r>
      <w:r>
        <w:t xml:space="preserve">(11, 12)</w:t>
      </w:r>
      <w:r>
        <w:t xml:space="preserve">. Therefore, trainees who do not see representation of themselves in senior faculty positions, may decide that they do not possess the characteristics that are required to succeed. In an attempt to make science a more inclusive environment, many individuals have attempted to address this issue by promoting the inclusion of more women speakers at conferences</w:t>
      </w:r>
      <w:r>
        <w:t xml:space="preserve"> </w:t>
      </w:r>
      <w:r>
        <w:t xml:space="preserve">(13–15)</w:t>
      </w:r>
      <w:r>
        <w:t xml:space="preserve">. However, if underrepresented minorities are not seeing visual representations of themselves at the faculty level, it is important to provide trainees with examples of themselves in other ways.</w:t>
      </w:r>
    </w:p>
    <w:p>
      <w:pPr>
        <w:pStyle w:val="BodyText"/>
      </w:pPr>
      <w:r>
        <w:t xml:space="preserve">Invited seminar series are common within biomedical departments across the United States</w:t>
      </w:r>
      <w:r>
        <w:t xml:space="preserve"> </w:t>
      </w:r>
      <w:r>
        <w:t xml:space="preserve">(16)</w:t>
      </w:r>
      <w:r>
        <w:t xml:space="preserve">. Usually, seminar series consist of faculty members selecting a scientist from another institution to visit their university and present their research as well as meet with other faculty members and trainees. This provides an opportunity for trainees to get exposed to research outside of their department. Additionally, being an invited speaker provides one with an opportunity to make future collaborations and build their own C.V. Scientists who are invited to give seminars are widely regarded as successful and the top in their field. Thus, if trainees are constantly being exposed to</w:t>
      </w:r>
      <w:r>
        <w:t xml:space="preserve"> </w:t>
      </w:r>
      <w:r>
        <w:t xml:space="preserve">“</w:t>
      </w:r>
      <w:r>
        <w:t xml:space="preserve">the top scientist in their field</w:t>
      </w:r>
      <w:r>
        <w:t xml:space="preserve">”</w:t>
      </w:r>
      <w:r>
        <w:t xml:space="preserve">, according to social role theory, it is imperative that the selected seminar speakers represent a diverse group of individuals. Given that the proportion of faculty is shewed, the seminar series could act a means to promote feelings of belonging within trainees by providing them with representation of themselves.</w:t>
      </w:r>
    </w:p>
    <w:p>
      <w:pPr>
        <w:pStyle w:val="BodyText"/>
      </w:pPr>
      <w:r>
        <w:t xml:space="preserve">In this study, we examine and compare the proportion of HURM, non-Caucasian/non-HURM, and women invited speakers to white males in the Department of Microbiology and Immunology. Additionally, we compare invited-speaker demographics to the current trainee demographics as a means to gauge if trainee demographics are being represented accordingly throughout the seminar series. Following our investigation, we proposed a policy change to the Department of Microbiology and Immunology in how invited speakers are selected as a means to promote inclusion in our department and reduce unconscious bias. In order to facilitate inviting a more diverse group of scientists, we developed a set of resources that allow scientists, within the field of microbiology, to self-identify as an HURM, non-Caucasian/non-HURM, or a woman. These resources will promote inclusion and diversity by providing greater representation of all scientists and will provide hosts an opportunity to invite a more diverse group of scientists.</w:t>
      </w:r>
    </w:p>
    <w:p>
      <w:pPr>
        <w:pStyle w:val="Heading2"/>
      </w:pPr>
      <w:bookmarkStart w:id="26" w:name="methods"/>
      <w:bookmarkEnd w:id="26"/>
      <w:r>
        <w:t xml:space="preserve">Methods</w:t>
      </w:r>
    </w:p>
    <w:p>
      <w:pPr>
        <w:pStyle w:val="FirstParagraph"/>
      </w:pPr>
      <w:r>
        <w:t xml:space="preserve">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w:t>
      </w:r>
      <w:r>
        <w:t xml:space="preserve"> </w:t>
      </w:r>
      <w:r>
        <w:t xml:space="preserve">“</w:t>
      </w:r>
      <w:r>
        <w:t xml:space="preserve">host</w:t>
      </w:r>
      <w:r>
        <w:t xml:space="preserve">”</w:t>
      </w:r>
      <w:r>
        <w:t xml:space="preserve"> </w:t>
      </w:r>
      <w:r>
        <w:t xml:space="preserve">at any point could not also be considered</w:t>
      </w:r>
      <w:r>
        <w:t xml:space="preserve"> </w:t>
      </w:r>
      <w:r>
        <w:t xml:space="preserve">“</w:t>
      </w:r>
      <w:r>
        <w:t xml:space="preserve">invited speakers</w:t>
      </w:r>
      <w:r>
        <w:t xml:space="preserve">”</w:t>
      </w:r>
      <w:r>
        <w:t xml:space="preserve">. The list of faculty hosts was used as a proxy for faculty demographics since as hosts, these faculty members are visible representatives of the department. The trainees were identified using from departmental email lists that included masters students, doctoral students, and post-doctoral fellows.</w:t>
      </w:r>
    </w:p>
    <w:p>
      <w:pPr>
        <w:pStyle w:val="BodyText"/>
      </w:pPr>
      <w:r>
        <w:t xml:space="preserve">This is a retrospective study, thus speakers were not asked for their identities at the time of visit. Instead we hand-coded proxy demographics using personal knowledge, photos, and CVs. The presenting gender of each individual was assigned using a binary system (man/woman). Due to the low number of individuals in the study, race/ethnicity demographics were split in three groups: Caucasian, Historically Under-represented Minority (HURM), and Non-Caucasian/Non-HURM (NCNH), each with a binary (yes/no) possibility. Caucasian was assigned using the current U.S. Census definition where those of Middle Eastern, European, and Russian descent are included. HURM individuals were restricted to those with African-American, Indigenous, Alaskan/Hawaiian Native, Latinx and/or Hispanic heritage. All others were placed into the NCNH group. We recognize that our proxy demographics are a limitation of the analysis and want to acknowledge that biological sex (male/female) is not always equivalent to the gender that an individual presents as (man/woman), which is also distinct from the gender(s) that an individual</w:t>
      </w:r>
      <w:r>
        <w:t xml:space="preserve"> </w:t>
      </w:r>
      <w:r>
        <w:t xml:space="preserve">self-identifies as. We also want to acknowledge that there are many other identities that are not captured in this limited analysis.</w:t>
      </w:r>
    </w:p>
    <w:p>
      <w:pPr>
        <w:pStyle w:val="BodyText"/>
      </w:pPr>
      <w:r>
        <w:t xml:space="preserve">Data were analyzed and figures generated in R Statistical Software, using relevant packages</w:t>
      </w:r>
      <w:r>
        <w:t xml:space="preserve"> </w:t>
      </w:r>
      <w:r>
        <w:t xml:space="preserve">(17–29)</w:t>
      </w:r>
      <w:r>
        <w:t xml:space="preserve">.</w:t>
      </w:r>
    </w:p>
    <w:p>
      <w:pPr>
        <w:pStyle w:val="Heading2"/>
      </w:pPr>
      <w:bookmarkStart w:id="27" w:name="results"/>
      <w:bookmarkEnd w:id="27"/>
      <w:r>
        <w:t xml:space="preserve">Results</w:t>
      </w:r>
    </w:p>
    <w:p>
      <w:pPr>
        <w:pStyle w:val="FirstParagraph"/>
      </w:pPr>
      <w:r>
        <w:t xml:space="preserve">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w:t>
      </w:r>
    </w:p>
    <w:p>
      <w:pPr>
        <w:pStyle w:val="BodyText"/>
      </w:pPr>
      <w:r>
        <w:t xml:space="preserve">Our analysis identified an over-representation of Caucasian individuals as hosting faculty and invited speakers (80% each), relative to the proportion of Caucasian trainees, which was 55% (Fig. 1B). We also observed declines in the representation of HURM and NCNH faculty and speakers relative to the trainees (Fig 1B). HURM trainees made up 11% of the department, on track with the 11% of microbiology and immunology doctorates awarded in 2017</w:t>
      </w:r>
      <w:r>
        <w:t xml:space="preserve"> </w:t>
      </w:r>
      <w:r>
        <w:t xml:space="preserve">(30)</w:t>
      </w:r>
      <w:r>
        <w:t xml:space="preserve">. However, only 8.5% of invited speakers, and none of the hosting faculty, were HURM scientists. NCNH trainees were 34% of department students and postdoc (22% of microbiology and immunology doctorates in 2017), but only 19% of hosting faculty and 10.5% of invited speakers</w:t>
      </w:r>
      <w:r>
        <w:t xml:space="preserve"> </w:t>
      </w:r>
      <w:r>
        <w:t xml:space="preserve">(30)</w:t>
      </w:r>
      <w:r>
        <w:t xml:space="preserve">.</w:t>
      </w:r>
    </w:p>
    <w:p>
      <w:pPr>
        <w:pStyle w:val="BodyText"/>
      </w:pPr>
      <w:r>
        <w:t xml:space="preserve">The more prestigious invited speaker lectureships were also dominated by Caucasian scientists, who comprised 81.48% of those awarded (Fig. 1C). HURM and NCNH scientists were awarded 3 and 2 lectureships, respectively. Because the intersection of identities can compound biases and outcomes, we further examined the lectureships by gender and race/ethnicity status. Caucasian men and women accounted for 44.44% and 37.04% of the lectureships, respectively. Just 18.52% of lectureships were held by non-Caucasian men while none were held by non-Caucasian women (Fig. 1D).</w:t>
      </w:r>
    </w:p>
    <w:p>
      <w:pPr>
        <w:pStyle w:val="Heading2"/>
      </w:pPr>
      <w:bookmarkStart w:id="28" w:name="discussion"/>
      <w:bookmarkEnd w:id="28"/>
      <w:r>
        <w:t xml:space="preserve">Discussion</w:t>
      </w:r>
    </w:p>
    <w:p>
      <w:pPr>
        <w:pStyle w:val="FirstParagraph"/>
      </w:pPr>
      <w:r>
        <w:t xml:space="preserve">In our study population, the proportion of women as faculty hosts and speakers is equivalent to global estimates that 40% of microbiologists are women, with a slightly lower representation of women in lectureships</w:t>
      </w:r>
      <w:r>
        <w:t xml:space="preserve"> </w:t>
      </w:r>
      <w:r>
        <w:t xml:space="preserve">(31)</w:t>
      </w:r>
      <w:r>
        <w:t xml:space="preserve">. In that regard, women are over-represented as graduate students and postdoctoral fellows in the department. Caucasian scientists are over-represented as host faculty and invited speakers, compared to their presence as trainees, particularly when lectureships were considered. Conversely, the proportion of HURM and NCNH invited speakers were under-representative of the trainee populations for each group. Thus, according to social role theory, this department is not adequately serving their non-Caucasian trainees.</w:t>
      </w:r>
    </w:p>
    <w:p>
      <w:pPr>
        <w:pStyle w:val="BodyText"/>
      </w:pPr>
      <w:r>
        <w:t xml:space="preserve">Several papers have investigated the representation of women at scientific conferences, however, we have only identified one that focused on invited speakers at universities</w:t>
      </w:r>
      <w:r>
        <w:t xml:space="preserve"> </w:t>
      </w:r>
      <w:r>
        <w:t xml:space="preserve">(16)</w:t>
      </w:r>
      <w:r>
        <w:t xml:space="preserve">. In their study, Nittrouer et al, examined 3,652 talks at 50 U.S. institutions in 2013 - 2014 and found that women faculty are less likely to be invited speakers, despite similar acceptance rates. These results suggest that women faculty are less often invited as speakers. We have not been able to identify any other publications examining scientific speaker diversity beyond gender. This seems to be the first, which is concerning since conclusions drawn from gender-based studies are often framed, and considered, to be applicable to other marginalized groups (e.g., HURM). This is a flawed assumption. While there is no doubt some overlap, each group remains marginalized due to a unique complex set of factors that cannot always be solved by gender-based solutions. US-serving institutions, such as the University of Michigan have a particular responsibility to the historically suppressed populations included in our definition of HURMs. We therefore implore US institutions to apply this framing to their discussions and research.</w:t>
      </w:r>
    </w:p>
    <w:p>
      <w:pPr>
        <w:pStyle w:val="BodyText"/>
      </w:pPr>
      <w:r>
        <w:t xml:space="preserve">Departments have different processes and criteria for selecting invited speakers, but it is a matter of pride to bring the best scientists possible. It may be that the definition of</w:t>
      </w:r>
      <w:r>
        <w:t xml:space="preserve"> </w:t>
      </w:r>
      <w:r>
        <w:t xml:space="preserve">“</w:t>
      </w:r>
      <w:r>
        <w:t xml:space="preserve">best</w:t>
      </w:r>
      <w:r>
        <w:t xml:space="preserve">”</w:t>
      </w:r>
      <w:r>
        <w:t xml:space="preserve"> </w:t>
      </w:r>
      <w:r>
        <w:t xml:space="preserve">poses a problem to women, who need three-times as many publications as their men colleges to be considered equally competent</w:t>
      </w:r>
      <w:r>
        <w:t xml:space="preserve"> </w:t>
      </w:r>
      <w:r>
        <w:t xml:space="preserve">(32)</w:t>
      </w:r>
      <w:r>
        <w:t xml:space="preserve">, and those that identify as HURM and Asian, who report having to work harder than white men to be perceived as legitimate scholars</w:t>
      </w:r>
      <w:r>
        <w:t xml:space="preserve"> </w:t>
      </w:r>
      <w:r>
        <w:t xml:space="preserve">(33)</w:t>
      </w:r>
      <w:r>
        <w:t xml:space="preserve">. Some departments only invite tenured faculty, which severely limits the number of potential speakers who are white women or non-Caucasian. Yet, another scenario is that pre-tenure faculty members invite prestigious, tenured faculty in their field to network and secure letters for their own tenure package. The increased burden of white women and non-Caucasian scientists to prove competency decreases their likelihood to be considered for either tenure or as possible source of tenure letters.</w:t>
      </w:r>
    </w:p>
    <w:p>
      <w:pPr>
        <w:pStyle w:val="BodyText"/>
      </w:pPr>
      <w:r>
        <w:t xml:space="preserve">Each underrepresented group in our cohort faces a complex set of barriers to achieving faculty status. For instance, the decision to invite a woman may also be negatively impacted by assumptions about competency and dedication. The dedication of women who have children to their work is perceived to be less than that of their colleagues, i.e., men who also have children</w:t>
      </w:r>
      <w:r>
        <w:t xml:space="preserve"> </w:t>
      </w:r>
      <w:r>
        <w:t xml:space="preserve">(34–36)</w:t>
      </w:r>
      <w:r>
        <w:t xml:space="preserve">. The perceived prioritization and commitments of women to family over work may cause faculty to doubt their acceptance of a speaking invitation, despite the prestigious nature of these invitations and evidence that men and women accept at similar rates</w:t>
      </w:r>
      <w:r>
        <w:t xml:space="preserve"> </w:t>
      </w:r>
      <w:r>
        <w:t xml:space="preserve">(16, 37)</w:t>
      </w:r>
      <w:r>
        <w:t xml:space="preserve">. As a result, the faculty member invites a different colleague who they feel is more likely to agree (and is a man). Another large portion of our sample were the NCNH cohort, who are predominately Asian/Asian American individuals. Although Asian scientists are well-represented in the US scientific workforce, they face significant bias and barriers to inclusion in society and academia</w:t>
      </w:r>
      <w:r>
        <w:t xml:space="preserve"> </w:t>
      </w:r>
      <w:r>
        <w:t xml:space="preserve">(38, 39)</w:t>
      </w:r>
      <w:r>
        <w:t xml:space="preserve">. For instance, despite the higher employment rate of Asian scientists, they were not well-represented in the more prestigious lectureships.</w:t>
      </w:r>
    </w:p>
    <w:p>
      <w:pPr>
        <w:pStyle w:val="BodyText"/>
      </w:pPr>
      <w:r>
        <w:t xml:space="preserve">While HURM and NCNH share some experiences, differences including varying rates of hiring and tenure promotion mean unique considerations are important for inclusion of each group</w:t>
      </w:r>
      <w:r>
        <w:t xml:space="preserve"> </w:t>
      </w:r>
      <w:r>
        <w:t xml:space="preserve">(3)</w:t>
      </w:r>
      <w:r>
        <w:t xml:space="preserve">. For instance, a major barrier to inclusion of HURM faculty at similar proportions to HURM trainees is the low transition rate of scientists from HURM backgrounds to faculty positions and the associated low proportion of HURM faculty</w:t>
      </w:r>
      <w:r>
        <w:t xml:space="preserve"> </w:t>
      </w:r>
      <w:r>
        <w:t xml:space="preserve">(40)</w:t>
      </w:r>
      <w:r>
        <w:t xml:space="preserve">. The proportion of HURM faculty at the Assistant and Associate Professor level is currently higher than at Full Professor so it will be difficult to increase speaker diversity if early-career researchers are not being considered</w:t>
      </w:r>
      <w:r>
        <w:t xml:space="preserve"> </w:t>
      </w:r>
      <w:r>
        <w:t xml:space="preserve">(41)</w:t>
      </w:r>
      <w:r>
        <w:t xml:space="preserve">. Increased performance expectations and patterns of exclusions are consistent themes in studies characterizing the HURM faculty experience</w:t>
      </w:r>
      <w:r>
        <w:t xml:space="preserve"> </w:t>
      </w:r>
      <w:r>
        <w:t xml:space="preserve">(42, 43)</w:t>
      </w:r>
      <w:r>
        <w:t xml:space="preserve">. Therefore, inclusion of HURM faculty in seminar series is likely essential to increasing the number of HURM Associate and Full Professors. Even when HURM speaker rates match the proportion of HURM faculty employment, HURM trainees will be represented at a significantly higher proportion. Inclusion of HURM faculty in these seminar series is just one aspect of larger institutional change that is needed</w:t>
      </w:r>
      <w:r>
        <w:t xml:space="preserve"> </w:t>
      </w:r>
      <w:r>
        <w:t xml:space="preserve">(44)</w:t>
      </w:r>
      <w:r>
        <w:t xml:space="preserve">.</w:t>
      </w:r>
    </w:p>
    <w:p>
      <w:pPr>
        <w:pStyle w:val="Heading2"/>
      </w:pPr>
      <w:bookmarkStart w:id="29" w:name="instituting-policy-change"/>
      <w:bookmarkEnd w:id="29"/>
      <w:r>
        <w:t xml:space="preserve">Instituting Policy Change</w:t>
      </w:r>
    </w:p>
    <w:p>
      <w:pPr>
        <w:pStyle w:val="FirstParagraph"/>
      </w:pPr>
      <w:r>
        <w:t xml:space="preserve">In an attempt to promote inclusion within the Department of Microbiology and Immunology at the University of Michigan, these data were presented to faculty members and the department chair (Dr. Mobley). Since trainee demographics were not represented within seminar speaker demographics over the past five years, we proposed a policy change as to how seminar speakers were being invited. One suggestion was to switch from faculty-invited to lab-invited speakers in an attempt to allow trainees to choose a speaker that best represented themselves (Table 1).</w:t>
      </w:r>
    </w:p>
    <w:p>
      <w:pPr>
        <w:pStyle w:val="BodyText"/>
      </w:pPr>
      <w:r>
        <w:t xml:space="preserve">The implicit biases that affect perceptions of marginalized groups are an issue, but we must acknowledge that it is not always possible to identify members of historically under-served communities. For instance, after data analysis, we learned that at least one speaker in our data set should have been categorized as a HURM instead of Caucasian, but it wasn’t readily apparent from their internet presence or CV. This limitation makes two important points: that perceived identity often plays a larger role than self-identification, and that we need better tools to identify members of marginalized groups. Another policy suggestion is for departments to invite their speakers to spend a time discussing their personal journeys through science, in addition to their scientific stories (Table 1). This would enable those who wish, feel welcomed to discuss how their identity(ies) interacted with their careers. In addition to these suggestions for policy change, we have created resources that allow scientists to self-identify as under-served groups and thus provide host faculty with more diverse choices (Table 1).</w:t>
      </w:r>
    </w:p>
    <w:p>
      <w:pPr>
        <w:pStyle w:val="Heading2"/>
      </w:pPr>
      <w:bookmarkStart w:id="30" w:name="building-diversify"/>
      <w:bookmarkEnd w:id="30"/>
      <w:r>
        <w:t xml:space="preserve">Building Diversify</w:t>
      </w:r>
    </w:p>
    <w:p>
      <w:pPr>
        <w:pStyle w:val="FirstParagraph"/>
      </w:pPr>
      <w:r>
        <w:t xml:space="preserve">Motivated by a lack of resources to identify scientists who are members of marginalized and/or historically under-served groups, and inspired by resources in other fields–DiversifyEEB and DiversifyChemistry–we created DiversifyMicrobiology and DiversifyImmunology. These resources are a tool for symposium organizers, award committees, search committees, and other scientists to identify individuals to diversify their pools. Additionally, we have built these as a template to be used as a tool for other fields and organizations that wish to create their own lists. Since these lists are compiled by self-nomination, we can ensure that only scientists comfortable revealing their marginalized identities are included.</w:t>
      </w:r>
    </w:p>
    <w:p>
      <w:pPr>
        <w:pStyle w:val="BodyText"/>
      </w:pPr>
      <w:r>
        <w:t xml:space="preserve">The self-nomination form is a Google Form with entries logged in a private Google Sheet. This form is embedded within the website and can be linked to directly. The use of a Google Forms allows us to maintain this database at no cost and gives us the flexibility to add questions or change response options without disrupting previous responses. Entries are logged in a private spreadsheet so that entries can be screened before being added to the public database. This screening includes two steps: confirming that each person is listed in the database only once and that any submitted website is a personal, professional website. If both criteria are met, a new entry is added to the public database spreadsheet. If a person is already listed in the database, their information is updated to the most recent submission.</w:t>
      </w:r>
    </w:p>
    <w:p>
      <w:pPr>
        <w:pStyle w:val="BodyText"/>
      </w:pPr>
      <w:r>
        <w:t xml:space="preserve">This public spreadsheet is embedded in the website and can be open separately as a locked (uneditable) Google Sheet, allowing the list to be easily searched. We have chosen to list individuals’ academic information first in the spreadsheet to encourage a focus on academic achievement rather than tokenization of marginalized identities. Currently the database lists individuals in order of self-nomination but future versions will be re-sorted based on name and/or academic field to varying the individuals who may receive more attention for simply being at the top of the list.</w:t>
      </w:r>
    </w:p>
    <w:p>
      <w:pPr>
        <w:pStyle w:val="BodyText"/>
      </w:pPr>
      <w:r>
        <w:t xml:space="preserve">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w:t>
      </w:r>
    </w:p>
    <w:p>
      <w:pPr>
        <w:pStyle w:val="Heading2"/>
      </w:pPr>
      <w:bookmarkStart w:id="31" w:name="conclusion"/>
      <w:bookmarkEnd w:id="31"/>
      <w:r>
        <w:t xml:space="preserve">Conclusion</w:t>
      </w:r>
    </w:p>
    <w:p>
      <w:pPr>
        <w:pStyle w:val="FirstParagraph"/>
      </w:pPr>
      <w:r>
        <w:t xml:space="preserve">To increase the retention of white women and HURM trainees in the biological sciences, they must also be represented as experts. However, the invited speaker diversity at one department does not represent the diversity of trainees. To facilitate the identification and recruitment of individuals in these historically under-served groups, we have built a tool to create self-nominated, field-specific lists.</w:t>
      </w:r>
    </w:p>
    <w:p>
      <w:pPr>
        <w:pStyle w:val="Heading2"/>
      </w:pPr>
      <w:bookmarkStart w:id="32" w:name="acknowledgements"/>
      <w:bookmarkEnd w:id="32"/>
      <w:r>
        <w:t xml:space="preserve">Acknowledgements</w:t>
      </w:r>
    </w:p>
    <w:p>
      <w:pPr>
        <w:pStyle w:val="FirstParagraph"/>
      </w:pPr>
      <w:r>
        <w:t xml:space="preserve">We thank Drs. Beth Moore and Harry Mobley and the Department of Microbiology &amp; Immunology, University of Michigan for their input and financial support that enabled publication of our manuscript. We thank Bonnie Krey and former speaker series coordinators Drs. Nicole Koropatkin and Kathy Spindler for access to invited speaker data. We would also like to acknowledge and thank Nick Lesniak and Dr. Ariangela Kozick for their comments and suggestions.</w:t>
      </w:r>
    </w:p>
    <w:p>
      <w:pPr>
        <w:pStyle w:val="Heading2"/>
      </w:pPr>
      <w:bookmarkStart w:id="33" w:name="author-contributions"/>
      <w:bookmarkEnd w:id="33"/>
      <w:r>
        <w:t xml:space="preserve">Author Contributions</w:t>
      </w:r>
    </w:p>
    <w:p>
      <w:pPr>
        <w:pStyle w:val="FirstParagraph"/>
      </w:pPr>
      <w:r>
        <w:t xml:space="preserve">A.K.H. collected the data, assigned demographics, analyzed the data, created the website, and wrote the methods and results. R.M.P. created the Google lists, forms, and website content and the description of their maintenance. J.L. wrote the introduction and provided conceptual advice. A.K.H. and J.L facilitated the policy change to the UM Department of Microbiology and Immunology. All authors contributed to preparing the final manuscript.</w:t>
      </w:r>
    </w:p>
    <w:p>
      <w:pPr>
        <w:pStyle w:val="Heading2"/>
      </w:pPr>
      <w:bookmarkStart w:id="34" w:name="code-and-data-availability"/>
      <w:bookmarkEnd w:id="34"/>
      <w:r>
        <w:t xml:space="preserve">Code and data availability</w:t>
      </w:r>
    </w:p>
    <w:p>
      <w:pPr>
        <w:pStyle w:val="FirstParagraph"/>
      </w:pPr>
      <w:r>
        <w:t xml:space="preserve">The anonymized data, code for all analysis steps, and an Rmarkdown version of this manuscript is available at</w:t>
      </w:r>
      <w:r>
        <w:t xml:space="preserve"> </w:t>
      </w:r>
      <w:hyperlink r:id="rId35">
        <w:r>
          <w:rPr>
            <w:rStyle w:val="Hyperlink"/>
          </w:rPr>
          <w:t xml:space="preserve">https://github.com/akhagan/Hagan_SpeakerDiversity_XXXX_2019/</w:t>
        </w:r>
      </w:hyperlink>
      <w:r>
        <w:t xml:space="preserve">. Template and complete instructions for generating a field-specific Diversity website are available at</w:t>
      </w:r>
      <w:r>
        <w:t xml:space="preserve"> </w:t>
      </w:r>
      <w:hyperlink r:id="rId36">
        <w:r>
          <w:rPr>
            <w:rStyle w:val="Hyperlink"/>
          </w:rPr>
          <w:t xml:space="preserve">https://github.com/diversifymicrobiology/DiversifyMicrobiology.github.io/</w:t>
        </w:r>
      </w:hyperlink>
      <w:r>
        <w:t xml:space="preserve">.</w:t>
      </w:r>
    </w:p>
    <w:p>
      <w:pPr>
        <w:pStyle w:val="FigureWithCaption"/>
      </w:pPr>
      <w:r>
        <w:drawing>
          <wp:inline>
            <wp:extent cx="5334000" cy="5334000"/>
            <wp:effectExtent b="0" l="0" r="0" t="0"/>
            <wp:docPr descr="The demographics of invited speakers, hosting faculty, and trainees. A) The proportion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 title="" id="1" name="Picture"/>
            <a:graphic>
              <a:graphicData uri="http://schemas.openxmlformats.org/drawingml/2006/picture">
                <pic:pic>
                  <pic:nvPicPr>
                    <pic:cNvPr descr="Figure_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The demographics of invited speakers, hosting faculty, and trainees.</w:t>
      </w:r>
      <w:r>
        <w:t xml:space="preserve"> </w:t>
      </w:r>
      <w:r>
        <w:t xml:space="preserve">A) The proportion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w:t>
      </w:r>
    </w:p>
    <w:p>
      <w:pPr>
        <w:pStyle w:val="Heading2"/>
      </w:pPr>
      <w:bookmarkStart w:id="38" w:name="references"/>
      <w:bookmarkEnd w:id="38"/>
      <w:r>
        <w:t xml:space="preserve">References</w:t>
      </w:r>
    </w:p>
    <w:p>
      <w:pPr>
        <w:pStyle w:val="FirstParagraph"/>
      </w:pPr>
      <w:r>
        <w:t xml:space="preserve">1.</w:t>
      </w:r>
      <w:r>
        <w:t xml:space="preserve"> </w:t>
      </w:r>
      <w:r>
        <w:rPr>
          <w:b/>
        </w:rPr>
        <w:t xml:space="preserve">Martinez LR</w:t>
      </w:r>
      <w:r>
        <w:t xml:space="preserve">,</w:t>
      </w:r>
      <w:r>
        <w:t xml:space="preserve"> </w:t>
      </w:r>
      <w:r>
        <w:rPr>
          <w:b/>
        </w:rPr>
        <w:t xml:space="preserve">Boucaud DW</w:t>
      </w:r>
      <w:r>
        <w:t xml:space="preserve">,</w:t>
      </w:r>
      <w:r>
        <w:t xml:space="preserve"> </w:t>
      </w:r>
      <w:r>
        <w:rPr>
          <w:b/>
        </w:rPr>
        <w:t xml:space="preserve">Casadevall A</w:t>
      </w:r>
      <w:r>
        <w:t xml:space="preserve">,</w:t>
      </w:r>
      <w:r>
        <w:t xml:space="preserve"> </w:t>
      </w:r>
      <w:r>
        <w:rPr>
          <w:b/>
        </w:rPr>
        <w:t xml:space="preserve">August A</w:t>
      </w:r>
      <w:r>
        <w:t xml:space="preserve">. 2018. Factors contributing to the success of NIH-designated underrepresented minorities in academic and nonacademic research positions. CBELife Sciences Education</w:t>
      </w:r>
      <w:r>
        <w:t xml:space="preserve"> </w:t>
      </w:r>
      <w:r>
        <w:rPr>
          <w:b/>
        </w:rPr>
        <w:t xml:space="preserve">17</w:t>
      </w:r>
      <w:r>
        <w:t xml:space="preserve">:ar32. doi:</w:t>
      </w:r>
      <w:hyperlink r:id="rId39">
        <w:r>
          <w:rPr>
            <w:rStyle w:val="Hyperlink"/>
          </w:rPr>
          <w:t xml:space="preserve">10.1187/cbe.16-09-0287</w:t>
        </w:r>
      </w:hyperlink>
      <w:r>
        <w:t xml:space="preserve">.</w:t>
      </w:r>
    </w:p>
    <w:p>
      <w:pPr>
        <w:pStyle w:val="BodyText"/>
      </w:pPr>
      <w:r>
        <w:t xml:space="preserve">2.</w:t>
      </w:r>
      <w:r>
        <w:t xml:space="preserve"> </w:t>
      </w:r>
      <w:r>
        <w:rPr>
          <w:b/>
        </w:rPr>
        <w:t xml:space="preserve">Allen-Ramdial S-AA</w:t>
      </w:r>
      <w:r>
        <w:t xml:space="preserve">,</w:t>
      </w:r>
      <w:r>
        <w:t xml:space="preserve"> </w:t>
      </w:r>
      <w:r>
        <w:rPr>
          <w:b/>
        </w:rPr>
        <w:t xml:space="preserve">Campbell AG</w:t>
      </w:r>
      <w:r>
        <w:t xml:space="preserve">. 2014. Reimagining the pipeline: Advancing STEM diversity, persistence, and success. BioScience</w:t>
      </w:r>
      <w:r>
        <w:t xml:space="preserve"> </w:t>
      </w:r>
      <w:r>
        <w:rPr>
          <w:b/>
        </w:rPr>
        <w:t xml:space="preserve">64</w:t>
      </w:r>
      <w:r>
        <w:t xml:space="preserve">:612–618. doi:</w:t>
      </w:r>
      <w:hyperlink r:id="rId40">
        <w:r>
          <w:rPr>
            <w:rStyle w:val="Hyperlink"/>
          </w:rPr>
          <w:t xml:space="preserve">10.1093/biosci/biu076</w:t>
        </w:r>
      </w:hyperlink>
      <w:r>
        <w:t xml:space="preserve">.</w:t>
      </w:r>
    </w:p>
    <w:p>
      <w:pPr>
        <w:pStyle w:val="BodyText"/>
      </w:pPr>
      <w:r>
        <w:t xml:space="preserve">3.</w:t>
      </w:r>
      <w:r>
        <w:t xml:space="preserve"> </w:t>
      </w:r>
      <w:r>
        <w:rPr>
          <w:b/>
        </w:rPr>
        <w:t xml:space="preserve">Fang D</w:t>
      </w:r>
      <w:r>
        <w:t xml:space="preserve">. 2000. Racial and ethnic disparities in faculty promotion in academic medicine. JAMA</w:t>
      </w:r>
      <w:r>
        <w:t xml:space="preserve"> </w:t>
      </w:r>
      <w:r>
        <w:rPr>
          <w:b/>
        </w:rPr>
        <w:t xml:space="preserve">284</w:t>
      </w:r>
      <w:r>
        <w:t xml:space="preserve">:1085. doi:</w:t>
      </w:r>
      <w:hyperlink r:id="rId41">
        <w:r>
          <w:rPr>
            <w:rStyle w:val="Hyperlink"/>
          </w:rPr>
          <w:t xml:space="preserve">10.1001/jama.284.9.1085</w:t>
        </w:r>
      </w:hyperlink>
      <w:r>
        <w:t xml:space="preserve">.</w:t>
      </w:r>
    </w:p>
    <w:p>
      <w:pPr>
        <w:pStyle w:val="BodyText"/>
      </w:pPr>
      <w:r>
        <w:t xml:space="preserve">4.</w:t>
      </w:r>
      <w:r>
        <w:t xml:space="preserve"> </w:t>
      </w:r>
      <w:r>
        <w:rPr>
          <w:b/>
        </w:rPr>
        <w:t xml:space="preserve">Gibbs KD</w:t>
      </w:r>
      <w:r>
        <w:t xml:space="preserve">,</w:t>
      </w:r>
      <w:r>
        <w:t xml:space="preserve"> </w:t>
      </w:r>
      <w:r>
        <w:rPr>
          <w:b/>
        </w:rPr>
        <w:t xml:space="preserve">McGready J</w:t>
      </w:r>
      <w:r>
        <w:t xml:space="preserve">,</w:t>
      </w:r>
      <w:r>
        <w:t xml:space="preserve"> </w:t>
      </w:r>
      <w:r>
        <w:rPr>
          <w:b/>
        </w:rPr>
        <w:t xml:space="preserve">Bennett JC</w:t>
      </w:r>
      <w:r>
        <w:t xml:space="preserve">,</w:t>
      </w:r>
      <w:r>
        <w:t xml:space="preserve"> </w:t>
      </w:r>
      <w:r>
        <w:rPr>
          <w:b/>
        </w:rPr>
        <w:t xml:space="preserve">Griffin K</w:t>
      </w:r>
      <w:r>
        <w:t xml:space="preserve">. 2014. Biomedical science ph.D. career interest patterns by race/ethnicity and gender. PLoS ONE</w:t>
      </w:r>
      <w:r>
        <w:t xml:space="preserve"> </w:t>
      </w:r>
      <w:r>
        <w:rPr>
          <w:b/>
        </w:rPr>
        <w:t xml:space="preserve">9</w:t>
      </w:r>
      <w:r>
        <w:t xml:space="preserve">:e114736. doi:</w:t>
      </w:r>
      <w:hyperlink r:id="rId42">
        <w:r>
          <w:rPr>
            <w:rStyle w:val="Hyperlink"/>
          </w:rPr>
          <w:t xml:space="preserve">10.1371/journal.pone.0114736</w:t>
        </w:r>
      </w:hyperlink>
      <w:r>
        <w:t xml:space="preserve">.</w:t>
      </w:r>
    </w:p>
    <w:p>
      <w:pPr>
        <w:pStyle w:val="BodyText"/>
      </w:pPr>
      <w:r>
        <w:t xml:space="preserve">5.</w:t>
      </w:r>
      <w:r>
        <w:t xml:space="preserve"> </w:t>
      </w:r>
      <w:r>
        <w:rPr>
          <w:b/>
        </w:rPr>
        <w:t xml:space="preserve">Meyers LC</w:t>
      </w:r>
      <w:r>
        <w:t xml:space="preserve">,</w:t>
      </w:r>
      <w:r>
        <w:t xml:space="preserve"> </w:t>
      </w:r>
      <w:r>
        <w:rPr>
          <w:b/>
        </w:rPr>
        <w:t xml:space="preserve">Brown AM</w:t>
      </w:r>
      <w:r>
        <w:t xml:space="preserve">,</w:t>
      </w:r>
      <w:r>
        <w:t xml:space="preserve"> </w:t>
      </w:r>
      <w:r>
        <w:rPr>
          <w:b/>
        </w:rPr>
        <w:t xml:space="preserve">Moneta-Koehler L</w:t>
      </w:r>
      <w:r>
        <w:t xml:space="preserve">,</w:t>
      </w:r>
      <w:r>
        <w:t xml:space="preserve"> </w:t>
      </w:r>
      <w:r>
        <w:rPr>
          <w:b/>
        </w:rPr>
        <w:t xml:space="preserve">Chalkley R</w:t>
      </w:r>
      <w:r>
        <w:t xml:space="preserve">. 2018. Survey of checkpoints along the pathway to diverse biomedical research faculty. PLOS ONE</w:t>
      </w:r>
      <w:r>
        <w:t xml:space="preserve"> </w:t>
      </w:r>
      <w:r>
        <w:rPr>
          <w:b/>
        </w:rPr>
        <w:t xml:space="preserve">13</w:t>
      </w:r>
      <w:r>
        <w:t xml:space="preserve">:e0190606. doi:</w:t>
      </w:r>
      <w:hyperlink r:id="rId43">
        <w:r>
          <w:rPr>
            <w:rStyle w:val="Hyperlink"/>
          </w:rPr>
          <w:t xml:space="preserve">10.1371/journal.pone.0190606</w:t>
        </w:r>
      </w:hyperlink>
      <w:r>
        <w:t xml:space="preserve">.</w:t>
      </w:r>
    </w:p>
    <w:p>
      <w:pPr>
        <w:pStyle w:val="BodyText"/>
      </w:pPr>
      <w:r>
        <w:t xml:space="preserve">6.</w:t>
      </w:r>
      <w:r>
        <w:t xml:space="preserve"> </w:t>
      </w:r>
      <w:r>
        <w:rPr>
          <w:b/>
        </w:rPr>
        <w:t xml:space="preserve">National Center for Science and Engineering Statistics</w:t>
      </w:r>
      <w:r>
        <w:t xml:space="preserve">. 2014. Women, minorities, and persons with disabilities in science and engineering. National Science Foundation, Alexandria, VA.</w:t>
      </w:r>
    </w:p>
    <w:p>
      <w:pPr>
        <w:pStyle w:val="BodyText"/>
      </w:pPr>
      <w:r>
        <w:t xml:space="preserve">7.</w:t>
      </w:r>
      <w:r>
        <w:t xml:space="preserve"> </w:t>
      </w:r>
      <w:r>
        <w:rPr>
          <w:b/>
        </w:rPr>
        <w:t xml:space="preserve">Jena AB</w:t>
      </w:r>
      <w:r>
        <w:t xml:space="preserve">,</w:t>
      </w:r>
      <w:r>
        <w:t xml:space="preserve"> </w:t>
      </w:r>
      <w:r>
        <w:rPr>
          <w:b/>
        </w:rPr>
        <w:t xml:space="preserve">Khullar D</w:t>
      </w:r>
      <w:r>
        <w:t xml:space="preserve">,</w:t>
      </w:r>
      <w:r>
        <w:t xml:space="preserve"> </w:t>
      </w:r>
      <w:r>
        <w:rPr>
          <w:b/>
        </w:rPr>
        <w:t xml:space="preserve">Ho O</w:t>
      </w:r>
      <w:r>
        <w:t xml:space="preserve">,</w:t>
      </w:r>
      <w:r>
        <w:t xml:space="preserve"> </w:t>
      </w:r>
      <w:r>
        <w:rPr>
          <w:b/>
        </w:rPr>
        <w:t xml:space="preserve">Olenski AR</w:t>
      </w:r>
      <w:r>
        <w:t xml:space="preserve">,</w:t>
      </w:r>
      <w:r>
        <w:t xml:space="preserve"> </w:t>
      </w:r>
      <w:r>
        <w:rPr>
          <w:b/>
        </w:rPr>
        <w:t xml:space="preserve">Blumenthal DM</w:t>
      </w:r>
      <w:r>
        <w:t xml:space="preserve">. 2015. Sex differences in academic rank in US medical schools in 2014. JAMA</w:t>
      </w:r>
      <w:r>
        <w:t xml:space="preserve"> </w:t>
      </w:r>
      <w:r>
        <w:rPr>
          <w:b/>
        </w:rPr>
        <w:t xml:space="preserve">314</w:t>
      </w:r>
      <w:r>
        <w:t xml:space="preserve">:1149. doi:</w:t>
      </w:r>
      <w:hyperlink r:id="rId44">
        <w:r>
          <w:rPr>
            <w:rStyle w:val="Hyperlink"/>
          </w:rPr>
          <w:t xml:space="preserve">10.1001/jama.2015.10680</w:t>
        </w:r>
      </w:hyperlink>
      <w:r>
        <w:t xml:space="preserve">.</w:t>
      </w:r>
    </w:p>
    <w:p>
      <w:pPr>
        <w:pStyle w:val="BodyText"/>
      </w:pPr>
      <w:r>
        <w:t xml:space="preserve">8.</w:t>
      </w:r>
      <w:r>
        <w:t xml:space="preserve"> </w:t>
      </w:r>
      <w:r>
        <w:rPr>
          <w:b/>
        </w:rPr>
        <w:t xml:space="preserve">Rotbart HA</w:t>
      </w:r>
      <w:r>
        <w:t xml:space="preserve">,</w:t>
      </w:r>
      <w:r>
        <w:t xml:space="preserve"> </w:t>
      </w:r>
      <w:r>
        <w:rPr>
          <w:b/>
        </w:rPr>
        <w:t xml:space="preserve">McMillen D</w:t>
      </w:r>
      <w:r>
        <w:t xml:space="preserve">,</w:t>
      </w:r>
      <w:r>
        <w:t xml:space="preserve"> </w:t>
      </w:r>
      <w:r>
        <w:rPr>
          <w:b/>
        </w:rPr>
        <w:t xml:space="preserve">Taussig H</w:t>
      </w:r>
      <w:r>
        <w:t xml:space="preserve">,</w:t>
      </w:r>
      <w:r>
        <w:t xml:space="preserve"> </w:t>
      </w:r>
      <w:r>
        <w:rPr>
          <w:b/>
        </w:rPr>
        <w:t xml:space="preserve">Daniels SR</w:t>
      </w:r>
      <w:r>
        <w:t xml:space="preserve">. 2012. Assessing gender equity in a large academic department of pediatrics. Academic Medicine</w:t>
      </w:r>
      <w:r>
        <w:t xml:space="preserve"> </w:t>
      </w:r>
      <w:r>
        <w:rPr>
          <w:b/>
        </w:rPr>
        <w:t xml:space="preserve">87</w:t>
      </w:r>
      <w:r>
        <w:t xml:space="preserve">:98–104. doi:</w:t>
      </w:r>
      <w:hyperlink r:id="rId45">
        <w:r>
          <w:rPr>
            <w:rStyle w:val="Hyperlink"/>
          </w:rPr>
          <w:t xml:space="preserve">10.1097/acm.0b013e31823be028</w:t>
        </w:r>
      </w:hyperlink>
      <w:r>
        <w:t xml:space="preserve">.</w:t>
      </w:r>
    </w:p>
    <w:p>
      <w:pPr>
        <w:pStyle w:val="BodyText"/>
      </w:pPr>
      <w:r>
        <w:t xml:space="preserve">9.</w:t>
      </w:r>
      <w:r>
        <w:t xml:space="preserve"> </w:t>
      </w:r>
      <w:r>
        <w:rPr>
          <w:b/>
        </w:rPr>
        <w:t xml:space="preserve">Schneider B</w:t>
      </w:r>
      <w:r>
        <w:t xml:space="preserve">,</w:t>
      </w:r>
      <w:r>
        <w:t xml:space="preserve"> </w:t>
      </w:r>
      <w:r>
        <w:rPr>
          <w:b/>
        </w:rPr>
        <w:t xml:space="preserve">Ehrhart MG</w:t>
      </w:r>
      <w:r>
        <w:t xml:space="preserve">,</w:t>
      </w:r>
      <w:r>
        <w:t xml:space="preserve"> </w:t>
      </w:r>
      <w:r>
        <w:rPr>
          <w:b/>
        </w:rPr>
        <w:t xml:space="preserve">Macey WH</w:t>
      </w:r>
      <w:r>
        <w:t xml:space="preserve">. 2013. Organizational climate and culture. Annual Review of Psychology</w:t>
      </w:r>
      <w:r>
        <w:t xml:space="preserve"> </w:t>
      </w:r>
      <w:r>
        <w:rPr>
          <w:b/>
        </w:rPr>
        <w:t xml:space="preserve">64</w:t>
      </w:r>
      <w:r>
        <w:t xml:space="preserve">:361–388. doi:</w:t>
      </w:r>
      <w:hyperlink r:id="rId46">
        <w:r>
          <w:rPr>
            <w:rStyle w:val="Hyperlink"/>
          </w:rPr>
          <w:t xml:space="preserve">10.1146/annurev-psych-113011-143809</w:t>
        </w:r>
      </w:hyperlink>
      <w:r>
        <w:t xml:space="preserve">.</w:t>
      </w:r>
    </w:p>
    <w:p>
      <w:pPr>
        <w:pStyle w:val="BodyText"/>
      </w:pPr>
      <w:r>
        <w:t xml:space="preserve">10.</w:t>
      </w:r>
      <w:r>
        <w:t xml:space="preserve"> </w:t>
      </w:r>
      <w:r>
        <w:rPr>
          <w:b/>
        </w:rPr>
        <w:t xml:space="preserve">Coe IR</w:t>
      </w:r>
      <w:r>
        <w:t xml:space="preserve">,</w:t>
      </w:r>
      <w:r>
        <w:t xml:space="preserve"> </w:t>
      </w:r>
      <w:r>
        <w:rPr>
          <w:b/>
        </w:rPr>
        <w:t xml:space="preserve">Wiley R</w:t>
      </w:r>
      <w:r>
        <w:t xml:space="preserve">,</w:t>
      </w:r>
      <w:r>
        <w:t xml:space="preserve"> </w:t>
      </w:r>
      <w:r>
        <w:rPr>
          <w:b/>
        </w:rPr>
        <w:t xml:space="preserve">Bekker L-G</w:t>
      </w:r>
      <w:r>
        <w:t xml:space="preserve">. 2019. Organisational best practices towards gender equality in science and medicine. The Lancet</w:t>
      </w:r>
      <w:r>
        <w:t xml:space="preserve"> </w:t>
      </w:r>
      <w:r>
        <w:rPr>
          <w:b/>
        </w:rPr>
        <w:t xml:space="preserve">393</w:t>
      </w:r>
      <w:r>
        <w:t xml:space="preserve">:587–593. doi:</w:t>
      </w:r>
      <w:hyperlink r:id="rId47">
        <w:r>
          <w:rPr>
            <w:rStyle w:val="Hyperlink"/>
          </w:rPr>
          <w:t xml:space="preserve">10.1016/s0140-6736(18)33188-x</w:t>
        </w:r>
      </w:hyperlink>
      <w:r>
        <w:t xml:space="preserve">.</w:t>
      </w:r>
    </w:p>
    <w:p>
      <w:pPr>
        <w:pStyle w:val="BodyText"/>
      </w:pPr>
      <w:r>
        <w:t xml:space="preserve">11.</w:t>
      </w:r>
      <w:r>
        <w:t xml:space="preserve"> </w:t>
      </w:r>
      <w:r>
        <w:rPr>
          <w:b/>
        </w:rPr>
        <w:t xml:space="preserve">Eagly AH</w:t>
      </w:r>
      <w:r>
        <w:t xml:space="preserve">,</w:t>
      </w:r>
      <w:r>
        <w:t xml:space="preserve"> </w:t>
      </w:r>
      <w:r>
        <w:rPr>
          <w:b/>
        </w:rPr>
        <w:t xml:space="preserve">Steffen VJ</w:t>
      </w:r>
      <w:r>
        <w:t xml:space="preserve">. 1984. Gender stereotypes stem from the distribution of women and men into social roles. Journal of Personality and Social Psychology</w:t>
      </w:r>
      <w:r>
        <w:t xml:space="preserve"> </w:t>
      </w:r>
      <w:r>
        <w:rPr>
          <w:b/>
        </w:rPr>
        <w:t xml:space="preserve">46</w:t>
      </w:r>
      <w:r>
        <w:t xml:space="preserve">:735–754. doi:</w:t>
      </w:r>
      <w:hyperlink r:id="rId48">
        <w:r>
          <w:rPr>
            <w:rStyle w:val="Hyperlink"/>
          </w:rPr>
          <w:t xml:space="preserve">10.1037/0022-3514.46.4.735</w:t>
        </w:r>
      </w:hyperlink>
      <w:r>
        <w:t xml:space="preserve">.</w:t>
      </w:r>
    </w:p>
    <w:p>
      <w:pPr>
        <w:pStyle w:val="BodyText"/>
      </w:pPr>
      <w:r>
        <w:t xml:space="preserve">12.</w:t>
      </w:r>
      <w:r>
        <w:t xml:space="preserve"> </w:t>
      </w:r>
      <w:r>
        <w:rPr>
          <w:b/>
        </w:rPr>
        <w:t xml:space="preserve">Carter AJ</w:t>
      </w:r>
      <w:r>
        <w:t xml:space="preserve">,</w:t>
      </w:r>
      <w:r>
        <w:t xml:space="preserve"> </w:t>
      </w:r>
      <w:r>
        <w:rPr>
          <w:b/>
        </w:rPr>
        <w:t xml:space="preserve">Croft A</w:t>
      </w:r>
      <w:r>
        <w:t xml:space="preserve">,</w:t>
      </w:r>
      <w:r>
        <w:t xml:space="preserve"> </w:t>
      </w:r>
      <w:r>
        <w:rPr>
          <w:b/>
        </w:rPr>
        <w:t xml:space="preserve">Lukas D</w:t>
      </w:r>
      <w:r>
        <w:t xml:space="preserve">,</w:t>
      </w:r>
      <w:r>
        <w:t xml:space="preserve"> </w:t>
      </w:r>
      <w:r>
        <w:rPr>
          <w:b/>
        </w:rPr>
        <w:t xml:space="preserve">Sandstrom GM</w:t>
      </w:r>
      <w:r>
        <w:t xml:space="preserve">. 2018. Women’s visibility in academic seminars: Women ask fewer questions than men. PLOS ONE</w:t>
      </w:r>
      <w:r>
        <w:t xml:space="preserve"> </w:t>
      </w:r>
      <w:r>
        <w:rPr>
          <w:b/>
        </w:rPr>
        <w:t xml:space="preserve">13</w:t>
      </w:r>
      <w:r>
        <w:t xml:space="preserve">:e0202743. doi:</w:t>
      </w:r>
      <w:hyperlink r:id="rId49">
        <w:r>
          <w:rPr>
            <w:rStyle w:val="Hyperlink"/>
          </w:rPr>
          <w:t xml:space="preserve">10.1371/journal.pone.0202743</w:t>
        </w:r>
      </w:hyperlink>
      <w:r>
        <w:t xml:space="preserve">.</w:t>
      </w:r>
    </w:p>
    <w:p>
      <w:pPr>
        <w:pStyle w:val="BodyText"/>
      </w:pPr>
      <w:r>
        <w:t xml:space="preserve">13.</w:t>
      </w:r>
      <w:r>
        <w:t xml:space="preserve"> </w:t>
      </w:r>
      <w:r>
        <w:rPr>
          <w:b/>
        </w:rPr>
        <w:t xml:space="preserve">Kalejta RF</w:t>
      </w:r>
      <w:r>
        <w:t xml:space="preserve">,</w:t>
      </w:r>
      <w:r>
        <w:t xml:space="preserve"> </w:t>
      </w:r>
      <w:r>
        <w:rPr>
          <w:b/>
        </w:rPr>
        <w:t xml:space="preserve">Palmenberg AC</w:t>
      </w:r>
      <w:r>
        <w:t xml:space="preserve">. 2017. Gender Parity Trends for Invited Speakers at Four Prominent Virology Conference Series. Journal of Virology</w:t>
      </w:r>
      <w:r>
        <w:t xml:space="preserve"> </w:t>
      </w:r>
      <w:r>
        <w:rPr>
          <w:b/>
        </w:rPr>
        <w:t xml:space="preserve">91</w:t>
      </w:r>
      <w:r>
        <w:t xml:space="preserve">. doi:</w:t>
      </w:r>
      <w:hyperlink r:id="rId50">
        <w:r>
          <w:rPr>
            <w:rStyle w:val="Hyperlink"/>
          </w:rPr>
          <w:t xml:space="preserve">10.1128/JVI.00739-17</w:t>
        </w:r>
      </w:hyperlink>
      <w:r>
        <w:t xml:space="preserve">.</w:t>
      </w:r>
    </w:p>
    <w:p>
      <w:pPr>
        <w:pStyle w:val="BodyText"/>
      </w:pPr>
      <w:r>
        <w:t xml:space="preserve">14.</w:t>
      </w:r>
      <w:r>
        <w:t xml:space="preserve"> </w:t>
      </w:r>
      <w:r>
        <w:rPr>
          <w:b/>
        </w:rPr>
        <w:t xml:space="preserve">Casadevall A</w:t>
      </w:r>
      <w:r>
        <w:t xml:space="preserve">,</w:t>
      </w:r>
      <w:r>
        <w:t xml:space="preserve"> </w:t>
      </w:r>
      <w:r>
        <w:rPr>
          <w:b/>
        </w:rPr>
        <w:t xml:space="preserve">Handelsman J</w:t>
      </w:r>
      <w:r>
        <w:t xml:space="preserve">. 2014. The Presence of Female Conveners Correlates with a Higher Proportion of Female Speakers at Scientific Symposia. mBio</w:t>
      </w:r>
      <w:r>
        <w:t xml:space="preserve"> </w:t>
      </w:r>
      <w:r>
        <w:rPr>
          <w:b/>
        </w:rPr>
        <w:t xml:space="preserve">5</w:t>
      </w:r>
      <w:r>
        <w:t xml:space="preserve">. doi:</w:t>
      </w:r>
      <w:hyperlink r:id="rId51">
        <w:r>
          <w:rPr>
            <w:rStyle w:val="Hyperlink"/>
          </w:rPr>
          <w:t xml:space="preserve">10.1128/mBio.00846-13</w:t>
        </w:r>
      </w:hyperlink>
      <w:r>
        <w:t xml:space="preserve">.</w:t>
      </w:r>
    </w:p>
    <w:p>
      <w:pPr>
        <w:pStyle w:val="BodyText"/>
      </w:pPr>
      <w:r>
        <w:t xml:space="preserve">15.</w:t>
      </w:r>
      <w:r>
        <w:t xml:space="preserve"> </w:t>
      </w:r>
      <w:r>
        <w:rPr>
          <w:b/>
        </w:rPr>
        <w:t xml:space="preserve">Klein RS</w:t>
      </w:r>
      <w:r>
        <w:t xml:space="preserve">,</w:t>
      </w:r>
      <w:r>
        <w:t xml:space="preserve"> </w:t>
      </w:r>
      <w:r>
        <w:rPr>
          <w:b/>
        </w:rPr>
        <w:t xml:space="preserve">Voskuhl R</w:t>
      </w:r>
      <w:r>
        <w:t xml:space="preserve">,</w:t>
      </w:r>
      <w:r>
        <w:t xml:space="preserve"> </w:t>
      </w:r>
      <w:r>
        <w:rPr>
          <w:b/>
        </w:rPr>
        <w:t xml:space="preserve">Segal BM</w:t>
      </w:r>
      <w:r>
        <w:t xml:space="preserve">,</w:t>
      </w:r>
      <w:r>
        <w:t xml:space="preserve"> </w:t>
      </w:r>
      <w:r>
        <w:rPr>
          <w:b/>
        </w:rPr>
        <w:t xml:space="preserve">Dittel BN</w:t>
      </w:r>
      <w:r>
        <w:t xml:space="preserve">,</w:t>
      </w:r>
      <w:r>
        <w:t xml:space="preserve"> </w:t>
      </w:r>
      <w:r>
        <w:rPr>
          <w:b/>
        </w:rPr>
        <w:t xml:space="preserve">Lane TE</w:t>
      </w:r>
      <w:r>
        <w:t xml:space="preserve">,</w:t>
      </w:r>
      <w:r>
        <w:t xml:space="preserve"> </w:t>
      </w:r>
      <w:r>
        <w:rPr>
          <w:b/>
        </w:rPr>
        <w:t xml:space="preserve">Bethea JR</w:t>
      </w:r>
      <w:r>
        <w:t xml:space="preserve">,</w:t>
      </w:r>
      <w:r>
        <w:t xml:space="preserve"> </w:t>
      </w:r>
      <w:r>
        <w:rPr>
          <w:b/>
        </w:rPr>
        <w:t xml:space="preserve">Carson MJ</w:t>
      </w:r>
      <w:r>
        <w:t xml:space="preserve">,</w:t>
      </w:r>
      <w:r>
        <w:t xml:space="preserve"> </w:t>
      </w:r>
      <w:r>
        <w:rPr>
          <w:b/>
        </w:rPr>
        <w:t xml:space="preserve">Colton C</w:t>
      </w:r>
      <w:r>
        <w:t xml:space="preserve">,</w:t>
      </w:r>
      <w:r>
        <w:t xml:space="preserve"> </w:t>
      </w:r>
      <w:r>
        <w:rPr>
          <w:b/>
        </w:rPr>
        <w:t xml:space="preserve">Rosi S</w:t>
      </w:r>
      <w:r>
        <w:t xml:space="preserve">,</w:t>
      </w:r>
      <w:r>
        <w:t xml:space="preserve"> </w:t>
      </w:r>
      <w:r>
        <w:rPr>
          <w:b/>
        </w:rPr>
        <w:t xml:space="preserve">Anderson A</w:t>
      </w:r>
      <w:r>
        <w:t xml:space="preserve">,</w:t>
      </w:r>
      <w:r>
        <w:t xml:space="preserve"> </w:t>
      </w:r>
      <w:r>
        <w:rPr>
          <w:b/>
        </w:rPr>
        <w:t xml:space="preserve">Piccio L</w:t>
      </w:r>
      <w:r>
        <w:t xml:space="preserve">,</w:t>
      </w:r>
      <w:r>
        <w:t xml:space="preserve"> </w:t>
      </w:r>
      <w:r>
        <w:rPr>
          <w:b/>
        </w:rPr>
        <w:t xml:space="preserve">Goverman JM</w:t>
      </w:r>
      <w:r>
        <w:t xml:space="preserve">,</w:t>
      </w:r>
      <w:r>
        <w:t xml:space="preserve"> </w:t>
      </w:r>
      <w:r>
        <w:rPr>
          <w:b/>
        </w:rPr>
        <w:t xml:space="preserve">Benveniste EN</w:t>
      </w:r>
      <w:r>
        <w:t xml:space="preserve">,</w:t>
      </w:r>
      <w:r>
        <w:t xml:space="preserve"> </w:t>
      </w:r>
      <w:r>
        <w:rPr>
          <w:b/>
        </w:rPr>
        <w:t xml:space="preserve">Brown MA</w:t>
      </w:r>
      <w:r>
        <w:t xml:space="preserve">,</w:t>
      </w:r>
      <w:r>
        <w:t xml:space="preserve"> </w:t>
      </w:r>
      <w:r>
        <w:rPr>
          <w:b/>
        </w:rPr>
        <w:t xml:space="preserve">Tiwari-Woodruff SK</w:t>
      </w:r>
      <w:r>
        <w:t xml:space="preserve">,</w:t>
      </w:r>
      <w:r>
        <w:t xml:space="preserve"> </w:t>
      </w:r>
      <w:r>
        <w:rPr>
          <w:b/>
        </w:rPr>
        <w:t xml:space="preserve">Harris TH</w:t>
      </w:r>
      <w:r>
        <w:t xml:space="preserve">,</w:t>
      </w:r>
      <w:r>
        <w:t xml:space="preserve"> </w:t>
      </w:r>
      <w:r>
        <w:rPr>
          <w:b/>
        </w:rPr>
        <w:t xml:space="preserve">Cross AH</w:t>
      </w:r>
      <w:r>
        <w:t xml:space="preserve">. 2017. Speaking out about gender imbalance in invited speakers improves diversity. Nature Immunology</w:t>
      </w:r>
      <w:r>
        <w:t xml:space="preserve"> </w:t>
      </w:r>
      <w:r>
        <w:rPr>
          <w:b/>
        </w:rPr>
        <w:t xml:space="preserve">18</w:t>
      </w:r>
      <w:r>
        <w:t xml:space="preserve">:475–478. doi:</w:t>
      </w:r>
      <w:hyperlink r:id="rId52">
        <w:r>
          <w:rPr>
            <w:rStyle w:val="Hyperlink"/>
          </w:rPr>
          <w:t xml:space="preserve">10.1038/ni.3707</w:t>
        </w:r>
      </w:hyperlink>
      <w:r>
        <w:t xml:space="preserve">.</w:t>
      </w:r>
    </w:p>
    <w:p>
      <w:pPr>
        <w:pStyle w:val="BodyText"/>
      </w:pPr>
      <w:r>
        <w:t xml:space="preserve">16.</w:t>
      </w:r>
      <w:r>
        <w:t xml:space="preserve"> </w:t>
      </w:r>
      <w:r>
        <w:rPr>
          <w:b/>
        </w:rPr>
        <w:t xml:space="preserve">Nittrouer CL</w:t>
      </w:r>
      <w:r>
        <w:t xml:space="preserve">,</w:t>
      </w:r>
      <w:r>
        <w:t xml:space="preserve"> </w:t>
      </w:r>
      <w:r>
        <w:rPr>
          <w:b/>
        </w:rPr>
        <w:t xml:space="preserve">Hebl MR</w:t>
      </w:r>
      <w:r>
        <w:t xml:space="preserve">,</w:t>
      </w:r>
      <w:r>
        <w:t xml:space="preserve"> </w:t>
      </w:r>
      <w:r>
        <w:rPr>
          <w:b/>
        </w:rPr>
        <w:t xml:space="preserve">Ashburn-Nardo L</w:t>
      </w:r>
      <w:r>
        <w:t xml:space="preserve">,</w:t>
      </w:r>
      <w:r>
        <w:t xml:space="preserve"> </w:t>
      </w:r>
      <w:r>
        <w:rPr>
          <w:b/>
        </w:rPr>
        <w:t xml:space="preserve">Trump-Steele RCE</w:t>
      </w:r>
      <w:r>
        <w:t xml:space="preserve">,</w:t>
      </w:r>
      <w:r>
        <w:t xml:space="preserve"> </w:t>
      </w:r>
      <w:r>
        <w:rPr>
          <w:b/>
        </w:rPr>
        <w:t xml:space="preserve">Lane DM</w:t>
      </w:r>
      <w:r>
        <w:t xml:space="preserve">,</w:t>
      </w:r>
      <w:r>
        <w:t xml:space="preserve"> </w:t>
      </w:r>
      <w:r>
        <w:rPr>
          <w:b/>
        </w:rPr>
        <w:t xml:space="preserve">Valian V</w:t>
      </w:r>
      <w:r>
        <w:t xml:space="preserve">. 2018. Gender disparities in colloquium speakers at top universities. Proceedings of the National Academy of Sciences</w:t>
      </w:r>
      <w:r>
        <w:t xml:space="preserve"> </w:t>
      </w:r>
      <w:r>
        <w:rPr>
          <w:b/>
        </w:rPr>
        <w:t xml:space="preserve">115</w:t>
      </w:r>
      <w:r>
        <w:t xml:space="preserve">:104–108. doi:</w:t>
      </w:r>
      <w:hyperlink r:id="rId53">
        <w:r>
          <w:rPr>
            <w:rStyle w:val="Hyperlink"/>
          </w:rPr>
          <w:t xml:space="preserve">10.1073/pnas.1708414115</w:t>
        </w:r>
      </w:hyperlink>
      <w:r>
        <w:t xml:space="preserve">.</w:t>
      </w:r>
    </w:p>
    <w:p>
      <w:pPr>
        <w:pStyle w:val="BodyText"/>
      </w:pPr>
      <w:r>
        <w:t xml:space="preserve">17.</w:t>
      </w:r>
      <w:r>
        <w:t xml:space="preserve"> </w:t>
      </w:r>
      <w:r>
        <w:rPr>
          <w:b/>
        </w:rPr>
        <w:t xml:space="preserve">R Core Team</w:t>
      </w:r>
      <w:r>
        <w:t xml:space="preserve">. 2017. R: A language and environment for statistical computing. R Foundation for Statistical Computing, Vienna, Austria.</w:t>
      </w:r>
    </w:p>
    <w:p>
      <w:pPr>
        <w:pStyle w:val="BodyText"/>
      </w:pPr>
      <w:r>
        <w:t xml:space="preserve">18.</w:t>
      </w:r>
      <w:r>
        <w:t xml:space="preserve"> </w:t>
      </w:r>
      <w:r>
        <w:rPr>
          <w:b/>
        </w:rPr>
        <w:t xml:space="preserve">Wickham H</w:t>
      </w:r>
      <w:r>
        <w:t xml:space="preserve">. 2017. Tidyverse: Easily Install and Load the ’Tidyverse’.</w:t>
      </w:r>
    </w:p>
    <w:p>
      <w:pPr>
        <w:pStyle w:val="BodyText"/>
      </w:pPr>
      <w:r>
        <w:t xml:space="preserve">19.</w:t>
      </w:r>
      <w:r>
        <w:t xml:space="preserve"> </w:t>
      </w:r>
      <w:r>
        <w:rPr>
          <w:b/>
        </w:rPr>
        <w:t xml:space="preserve">Wilke CO</w:t>
      </w:r>
      <w:r>
        <w:t xml:space="preserve">. 2019. Cowplot: Streamlined plot theme and plot annotations for ’ggplot2’.</w:t>
      </w:r>
    </w:p>
    <w:p>
      <w:pPr>
        <w:pStyle w:val="BodyText"/>
      </w:pPr>
      <w:r>
        <w:t xml:space="preserve">20.</w:t>
      </w:r>
      <w:r>
        <w:t xml:space="preserve"> </w:t>
      </w:r>
      <w:r>
        <w:rPr>
          <w:b/>
        </w:rPr>
        <w:t xml:space="preserve">Allaire J</w:t>
      </w:r>
      <w:r>
        <w:t xml:space="preserve">,</w:t>
      </w:r>
      <w:r>
        <w:t xml:space="preserve"> </w:t>
      </w:r>
      <w:r>
        <w:rPr>
          <w:b/>
        </w:rPr>
        <w:t xml:space="preserve">Horner J</w:t>
      </w:r>
      <w:r>
        <w:t xml:space="preserve">,</w:t>
      </w:r>
      <w:r>
        <w:t xml:space="preserve"> </w:t>
      </w:r>
      <w:r>
        <w:rPr>
          <w:b/>
        </w:rPr>
        <w:t xml:space="preserve">Xie Y</w:t>
      </w:r>
      <w:r>
        <w:t xml:space="preserve">,</w:t>
      </w:r>
      <w:r>
        <w:t xml:space="preserve"> </w:t>
      </w:r>
      <w:r>
        <w:rPr>
          <w:b/>
        </w:rPr>
        <w:t xml:space="preserve">Marti V</w:t>
      </w:r>
      <w:r>
        <w:t xml:space="preserve">,</w:t>
      </w:r>
      <w:r>
        <w:t xml:space="preserve"> </w:t>
      </w:r>
      <w:r>
        <w:rPr>
          <w:b/>
        </w:rPr>
        <w:t xml:space="preserve">Porte N</w:t>
      </w:r>
      <w:r>
        <w:t xml:space="preserve">. 2018. Markdown: ’Markdown’ rendering for r.</w:t>
      </w:r>
    </w:p>
    <w:p>
      <w:pPr>
        <w:pStyle w:val="BodyText"/>
      </w:pPr>
      <w:r>
        <w:t xml:space="preserve">21.</w:t>
      </w:r>
      <w:r>
        <w:t xml:space="preserve"> </w:t>
      </w:r>
      <w:r>
        <w:rPr>
          <w:b/>
        </w:rPr>
        <w:t xml:space="preserve">Xie Y</w:t>
      </w:r>
      <w:r>
        <w:t xml:space="preserve">,</w:t>
      </w:r>
      <w:r>
        <w:t xml:space="preserve"> </w:t>
      </w:r>
      <w:r>
        <w:rPr>
          <w:b/>
        </w:rPr>
        <w:t xml:space="preserve">Allaire J</w:t>
      </w:r>
      <w:r>
        <w:t xml:space="preserve">,</w:t>
      </w:r>
      <w:r>
        <w:t xml:space="preserve"> </w:t>
      </w:r>
      <w:r>
        <w:rPr>
          <w:b/>
        </w:rPr>
        <w:t xml:space="preserve">Grolemund G</w:t>
      </w:r>
      <w:r>
        <w:t xml:space="preserve">. 2018. R markdown: The definitive guide. Chapman; Hall/CRC, Boca Raton, Florida.</w:t>
      </w:r>
    </w:p>
    <w:p>
      <w:pPr>
        <w:pStyle w:val="BodyText"/>
      </w:pPr>
      <w:r>
        <w:t xml:space="preserve">22.</w:t>
      </w:r>
      <w:r>
        <w:t xml:space="preserve"> </w:t>
      </w:r>
      <w:r>
        <w:rPr>
          <w:b/>
        </w:rPr>
        <w:t xml:space="preserve">Allaire J</w:t>
      </w:r>
      <w:r>
        <w:t xml:space="preserve">,</w:t>
      </w:r>
      <w:r>
        <w:t xml:space="preserve"> </w:t>
      </w:r>
      <w:r>
        <w:rPr>
          <w:b/>
        </w:rPr>
        <w:t xml:space="preserve">Xie Y</w:t>
      </w:r>
      <w:r>
        <w:t xml:space="preserve">,</w:t>
      </w:r>
      <w:r>
        <w:t xml:space="preserve"> </w:t>
      </w:r>
      <w:r>
        <w:rPr>
          <w:b/>
        </w:rPr>
        <w:t xml:space="preserve">McPherson J</w:t>
      </w:r>
      <w:r>
        <w:t xml:space="preserve">,</w:t>
      </w:r>
      <w:r>
        <w:t xml:space="preserve"> </w:t>
      </w:r>
      <w:r>
        <w:rPr>
          <w:b/>
        </w:rPr>
        <w:t xml:space="preserve">Luraschi J</w:t>
      </w:r>
      <w:r>
        <w:t xml:space="preserve">,</w:t>
      </w:r>
      <w:r>
        <w:t xml:space="preserve"> </w:t>
      </w:r>
      <w:r>
        <w:rPr>
          <w:b/>
        </w:rPr>
        <w:t xml:space="preserve">Ushey K</w:t>
      </w:r>
      <w:r>
        <w:t xml:space="preserve">,</w:t>
      </w:r>
      <w:r>
        <w:t xml:space="preserve"> </w:t>
      </w:r>
      <w:r>
        <w:rPr>
          <w:b/>
        </w:rPr>
        <w:t xml:space="preserve">Atkins A</w:t>
      </w:r>
      <w:r>
        <w:t xml:space="preserve">,</w:t>
      </w:r>
      <w:r>
        <w:t xml:space="preserve"> </w:t>
      </w:r>
      <w:r>
        <w:rPr>
          <w:b/>
        </w:rPr>
        <w:t xml:space="preserve">Wickham H</w:t>
      </w:r>
      <w:r>
        <w:t xml:space="preserve">,</w:t>
      </w:r>
      <w:r>
        <w:t xml:space="preserve"> </w:t>
      </w:r>
      <w:r>
        <w:rPr>
          <w:b/>
        </w:rPr>
        <w:t xml:space="preserve">Cheng J</w:t>
      </w:r>
      <w:r>
        <w:t xml:space="preserve">,</w:t>
      </w:r>
      <w:r>
        <w:t xml:space="preserve"> </w:t>
      </w:r>
      <w:r>
        <w:rPr>
          <w:b/>
        </w:rPr>
        <w:t xml:space="preserve">Chang W</w:t>
      </w:r>
      <w:r>
        <w:t xml:space="preserve">,</w:t>
      </w:r>
      <w:r>
        <w:t xml:space="preserve"> </w:t>
      </w:r>
      <w:r>
        <w:rPr>
          <w:b/>
        </w:rPr>
        <w:t xml:space="preserve">Iannone R</w:t>
      </w:r>
      <w:r>
        <w:t xml:space="preserve">. 2018. Rmarkdown: Dynamic documents for r.</w:t>
      </w:r>
    </w:p>
    <w:p>
      <w:pPr>
        <w:pStyle w:val="BodyText"/>
      </w:pPr>
      <w:r>
        <w:t xml:space="preserve">23.</w:t>
      </w:r>
      <w:r>
        <w:t xml:space="preserve"> </w:t>
      </w:r>
      <w:r>
        <w:rPr>
          <w:b/>
        </w:rPr>
        <w:t xml:space="preserve">Xie Y</w:t>
      </w:r>
      <w:r>
        <w:t xml:space="preserve">. 2014. Knitr: A comprehensive tool for reproducible research in R.</w:t>
      </w:r>
      <w:r>
        <w:t xml:space="preserve"> </w:t>
      </w:r>
      <w:r>
        <w:rPr>
          <w:i/>
        </w:rPr>
        <w:t xml:space="preserve">In</w:t>
      </w:r>
      <w:r>
        <w:t xml:space="preserve"> </w:t>
      </w:r>
      <w:r>
        <w:t xml:space="preserve">Stodden, V, Leisch, F, Peng, RD (eds.), Implementing reproducible computational research. Chapman; Hall/CRC.</w:t>
      </w:r>
    </w:p>
    <w:p>
      <w:pPr>
        <w:pStyle w:val="BodyText"/>
      </w:pPr>
      <w:r>
        <w:t xml:space="preserve">24.</w:t>
      </w:r>
      <w:r>
        <w:t xml:space="preserve"> </w:t>
      </w:r>
      <w:r>
        <w:rPr>
          <w:b/>
        </w:rPr>
        <w:t xml:space="preserve">Xie Y</w:t>
      </w:r>
      <w:r>
        <w:t xml:space="preserve">. 2018. Knitr: A general-purpose package for dynamic report generation in r.</w:t>
      </w:r>
    </w:p>
    <w:p>
      <w:pPr>
        <w:pStyle w:val="BodyText"/>
      </w:pPr>
      <w:r>
        <w:t xml:space="preserve">25.</w:t>
      </w:r>
      <w:r>
        <w:t xml:space="preserve"> </w:t>
      </w:r>
      <w:r>
        <w:rPr>
          <w:b/>
        </w:rPr>
        <w:t xml:space="preserve">Grolemund G</w:t>
      </w:r>
      <w:r>
        <w:t xml:space="preserve">,</w:t>
      </w:r>
      <w:r>
        <w:t xml:space="preserve"> </w:t>
      </w:r>
      <w:r>
        <w:rPr>
          <w:b/>
        </w:rPr>
        <w:t xml:space="preserve">Wickham H</w:t>
      </w:r>
      <w:r>
        <w:t xml:space="preserve">. 2011. Dates and times made easy with lubridate. Journal of Statistical Software</w:t>
      </w:r>
      <w:r>
        <w:t xml:space="preserve"> </w:t>
      </w:r>
      <w:r>
        <w:rPr>
          <w:b/>
        </w:rPr>
        <w:t xml:space="preserve">40</w:t>
      </w:r>
      <w:r>
        <w:t xml:space="preserve">:1–25.</w:t>
      </w:r>
    </w:p>
    <w:p>
      <w:pPr>
        <w:pStyle w:val="BodyText"/>
      </w:pPr>
      <w:r>
        <w:t xml:space="preserve">26.</w:t>
      </w:r>
      <w:r>
        <w:t xml:space="preserve"> </w:t>
      </w:r>
      <w:r>
        <w:rPr>
          <w:b/>
        </w:rPr>
        <w:t xml:space="preserve">Wickham H</w:t>
      </w:r>
      <w:r>
        <w:t xml:space="preserve">,</w:t>
      </w:r>
      <w:r>
        <w:t xml:space="preserve"> </w:t>
      </w:r>
      <w:r>
        <w:rPr>
          <w:b/>
        </w:rPr>
        <w:t xml:space="preserve">Bryan J</w:t>
      </w:r>
      <w:r>
        <w:t xml:space="preserve">. 2018. Readxl: Read excel files.</w:t>
      </w:r>
    </w:p>
    <w:p>
      <w:pPr>
        <w:pStyle w:val="BodyText"/>
      </w:pPr>
      <w:r>
        <w:t xml:space="preserve">27.</w:t>
      </w:r>
      <w:r>
        <w:t xml:space="preserve"> </w:t>
      </w:r>
      <w:r>
        <w:rPr>
          <w:b/>
        </w:rPr>
        <w:t xml:space="preserve">Ooms J</w:t>
      </w:r>
      <w:r>
        <w:t xml:space="preserve">. 2019. Pdftools: Text extraction, rendering and converting of pdf documents.</w:t>
      </w:r>
    </w:p>
    <w:p>
      <w:pPr>
        <w:pStyle w:val="BodyText"/>
      </w:pPr>
      <w:r>
        <w:t xml:space="preserve">28.</w:t>
      </w:r>
      <w:r>
        <w:t xml:space="preserve"> </w:t>
      </w:r>
      <w:r>
        <w:rPr>
          <w:b/>
        </w:rPr>
        <w:t xml:space="preserve">Wickham H</w:t>
      </w:r>
      <w:r>
        <w:t xml:space="preserve">. 2018. Scales: Scale Functions for Visualization.</w:t>
      </w:r>
    </w:p>
    <w:p>
      <w:pPr>
        <w:pStyle w:val="BodyText"/>
      </w:pPr>
      <w:r>
        <w:t xml:space="preserve">29.</w:t>
      </w:r>
      <w:r>
        <w:t xml:space="preserve"> </w:t>
      </w:r>
      <w:r>
        <w:rPr>
          <w:b/>
        </w:rPr>
        <w:t xml:space="preserve">Neuwirth E</w:t>
      </w:r>
      <w:r>
        <w:t xml:space="preserve">. 2014. RColorBrewer: ColorBrewer Palettes.</w:t>
      </w:r>
    </w:p>
    <w:p>
      <w:pPr>
        <w:pStyle w:val="BodyText"/>
      </w:pPr>
      <w:r>
        <w:t xml:space="preserve">30.</w:t>
      </w:r>
      <w:r>
        <w:t xml:space="preserve"> </w:t>
      </w:r>
      <w:r>
        <w:rPr>
          <w:b/>
        </w:rPr>
        <w:t xml:space="preserve">National Center for Science and Engineering Statistics</w:t>
      </w:r>
      <w:r>
        <w:t xml:space="preserve">. 2017. Survey of Doctorate Recipients, Survey Year 2017. National Science Foundation, Alexandria, VA.</w:t>
      </w:r>
    </w:p>
    <w:p>
      <w:pPr>
        <w:pStyle w:val="BodyText"/>
      </w:pPr>
      <w:r>
        <w:t xml:space="preserve">31.</w:t>
      </w:r>
      <w:r>
        <w:t xml:space="preserve"> </w:t>
      </w:r>
      <w:r>
        <w:rPr>
          <w:b/>
        </w:rPr>
        <w:t xml:space="preserve">Allagnat L</w:t>
      </w:r>
      <w:r>
        <w:t xml:space="preserve">,</w:t>
      </w:r>
      <w:r>
        <w:t xml:space="preserve"> </w:t>
      </w:r>
      <w:r>
        <w:rPr>
          <w:b/>
        </w:rPr>
        <w:t xml:space="preserve">Berghmans S</w:t>
      </w:r>
      <w:r>
        <w:t xml:space="preserve">,</w:t>
      </w:r>
      <w:r>
        <w:t xml:space="preserve"> </w:t>
      </w:r>
      <w:r>
        <w:rPr>
          <w:b/>
        </w:rPr>
        <w:t xml:space="preserve">Falk-Krzesinski HJ</w:t>
      </w:r>
      <w:r>
        <w:t xml:space="preserve">,</w:t>
      </w:r>
      <w:r>
        <w:t xml:space="preserve"> </w:t>
      </w:r>
      <w:r>
        <w:rPr>
          <w:b/>
        </w:rPr>
        <w:t xml:space="preserve">Hanafi S</w:t>
      </w:r>
      <w:r>
        <w:t xml:space="preserve">,</w:t>
      </w:r>
      <w:r>
        <w:t xml:space="preserve"> </w:t>
      </w:r>
      <w:r>
        <w:rPr>
          <w:b/>
        </w:rPr>
        <w:t xml:space="preserve">Herbert R</w:t>
      </w:r>
      <w:r>
        <w:t xml:space="preserve">,</w:t>
      </w:r>
      <w:r>
        <w:t xml:space="preserve"> </w:t>
      </w:r>
      <w:r>
        <w:rPr>
          <w:b/>
        </w:rPr>
        <w:t xml:space="preserve">Huggett S</w:t>
      </w:r>
      <w:r>
        <w:t xml:space="preserve">,</w:t>
      </w:r>
      <w:r>
        <w:t xml:space="preserve"> </w:t>
      </w:r>
      <w:r>
        <w:rPr>
          <w:b/>
        </w:rPr>
        <w:t xml:space="preserve">Tobin S</w:t>
      </w:r>
      <w:r>
        <w:t xml:space="preserve">. 2017. Gender in the global research landscape.</w:t>
      </w:r>
    </w:p>
    <w:p>
      <w:pPr>
        <w:pStyle w:val="BodyText"/>
      </w:pPr>
      <w:r>
        <w:t xml:space="preserve">32.</w:t>
      </w:r>
      <w:r>
        <w:t xml:space="preserve"> </w:t>
      </w:r>
      <w:r>
        <w:rPr>
          <w:b/>
        </w:rPr>
        <w:t xml:space="preserve">Blair-Loy M</w:t>
      </w:r>
      <w:r>
        <w:t xml:space="preserve">,</w:t>
      </w:r>
      <w:r>
        <w:t xml:space="preserve"> </w:t>
      </w:r>
      <w:r>
        <w:rPr>
          <w:b/>
        </w:rPr>
        <w:t xml:space="preserve">Rogers L</w:t>
      </w:r>
      <w:r>
        <w:t xml:space="preserve">,</w:t>
      </w:r>
      <w:r>
        <w:t xml:space="preserve"> </w:t>
      </w:r>
      <w:r>
        <w:rPr>
          <w:b/>
        </w:rPr>
        <w:t xml:space="preserve">Glaser D</w:t>
      </w:r>
      <w:r>
        <w:t xml:space="preserve">,</w:t>
      </w:r>
      <w:r>
        <w:t xml:space="preserve"> </w:t>
      </w:r>
      <w:r>
        <w:rPr>
          <w:b/>
        </w:rPr>
        <w:t xml:space="preserve">Wong Y</w:t>
      </w:r>
      <w:r>
        <w:t xml:space="preserve">,</w:t>
      </w:r>
      <w:r>
        <w:t xml:space="preserve"> </w:t>
      </w:r>
      <w:r>
        <w:rPr>
          <w:b/>
        </w:rPr>
        <w:t xml:space="preserve">Abraham D</w:t>
      </w:r>
      <w:r>
        <w:t xml:space="preserve">,</w:t>
      </w:r>
      <w:r>
        <w:t xml:space="preserve"> </w:t>
      </w:r>
      <w:r>
        <w:rPr>
          <w:b/>
        </w:rPr>
        <w:t xml:space="preserve">Cosman P</w:t>
      </w:r>
      <w:r>
        <w:t xml:space="preserve">. 2017. Gender in engineering departments: Are there gender differences in interruptions of academic job talks? Social Sciences</w:t>
      </w:r>
      <w:r>
        <w:t xml:space="preserve"> </w:t>
      </w:r>
      <w:r>
        <w:rPr>
          <w:b/>
        </w:rPr>
        <w:t xml:space="preserve">6</w:t>
      </w:r>
      <w:r>
        <w:t xml:space="preserve">:29. doi:</w:t>
      </w:r>
      <w:hyperlink r:id="rId54">
        <w:r>
          <w:rPr>
            <w:rStyle w:val="Hyperlink"/>
          </w:rPr>
          <w:t xml:space="preserve">10.3390/socsci6010029</w:t>
        </w:r>
      </w:hyperlink>
      <w:r>
        <w:t xml:space="preserve">.</w:t>
      </w:r>
    </w:p>
    <w:p>
      <w:pPr>
        <w:pStyle w:val="BodyText"/>
      </w:pPr>
      <w:r>
        <w:t xml:space="preserve">33.</w:t>
      </w:r>
      <w:r>
        <w:t xml:space="preserve"> </w:t>
      </w:r>
      <w:r>
        <w:rPr>
          <w:b/>
        </w:rPr>
        <w:t xml:space="preserve">National Research Council</w:t>
      </w:r>
      <w:r>
        <w:rPr>
          <w:b/>
        </w:rPr>
        <w:t xml:space="preserve"> </w:t>
      </w:r>
      <w:r>
        <w:rPr>
          <w:b w:val="0"/>
          <w:b/>
        </w:rPr>
        <w:t xml:space="preserve">Policy and Global Affairs</w:t>
      </w:r>
      <w:r>
        <w:t xml:space="preserve">,</w:t>
      </w:r>
      <w:r>
        <w:t xml:space="preserve"> </w:t>
      </w:r>
      <w:r>
        <w:rPr>
          <w:b/>
        </w:rPr>
        <w:t xml:space="preserve">Committee on Women in Science, Engineering, and Medicine</w:t>
      </w:r>
      <w:r>
        <w:t xml:space="preserve">,</w:t>
      </w:r>
      <w:r>
        <w:t xml:space="preserve"> </w:t>
      </w:r>
      <w:r>
        <w:rPr>
          <w:b/>
        </w:rPr>
        <w:t xml:space="preserve">Committee on Advancing Institutional Transformation for Minority Women in Academia</w:t>
      </w:r>
      <w:r>
        <w:t xml:space="preserve">,</w:t>
      </w:r>
      <w:r>
        <w:t xml:space="preserve"> </w:t>
      </w:r>
      <w:r>
        <w:rPr>
          <w:b/>
        </w:rPr>
        <w:t xml:space="preserve">Rapporteur KM</w:t>
      </w:r>
      <w:r>
        <w:t xml:space="preserve">. 2013. Seeking Solutions: Maximizing American Talent by Advancing Women of Color in Academia: Summary of a Conference. National Academies Press, Washington, D.C.</w:t>
      </w:r>
    </w:p>
    <w:p>
      <w:pPr>
        <w:pStyle w:val="BodyText"/>
      </w:pPr>
      <w:r>
        <w:t xml:space="preserve">34.</w:t>
      </w:r>
      <w:r>
        <w:t xml:space="preserve"> </w:t>
      </w:r>
      <w:r>
        <w:rPr>
          <w:b/>
        </w:rPr>
        <w:t xml:space="preserve">Firth M</w:t>
      </w:r>
      <w:r>
        <w:t xml:space="preserve">. 1982. Sex discrimination in job opportunities for women. Sex Roles</w:t>
      </w:r>
      <w:r>
        <w:t xml:space="preserve"> </w:t>
      </w:r>
      <w:r>
        <w:rPr>
          <w:b/>
        </w:rPr>
        <w:t xml:space="preserve">8</w:t>
      </w:r>
      <w:r>
        <w:t xml:space="preserve">:891–901. doi:</w:t>
      </w:r>
      <w:hyperlink r:id="rId55">
        <w:r>
          <w:rPr>
            <w:rStyle w:val="Hyperlink"/>
          </w:rPr>
          <w:t xml:space="preserve">10.1007/bf00287858</w:t>
        </w:r>
      </w:hyperlink>
      <w:r>
        <w:t xml:space="preserve">.</w:t>
      </w:r>
    </w:p>
    <w:p>
      <w:pPr>
        <w:pStyle w:val="BodyText"/>
      </w:pPr>
      <w:r>
        <w:t xml:space="preserve">35.</w:t>
      </w:r>
      <w:r>
        <w:t xml:space="preserve"> </w:t>
      </w:r>
      <w:r>
        <w:rPr>
          <w:b/>
        </w:rPr>
        <w:t xml:space="preserve">Correll SJ</w:t>
      </w:r>
      <w:r>
        <w:t xml:space="preserve">,</w:t>
      </w:r>
      <w:r>
        <w:t xml:space="preserve"> </w:t>
      </w:r>
      <w:r>
        <w:rPr>
          <w:b/>
        </w:rPr>
        <w:t xml:space="preserve">Benard S</w:t>
      </w:r>
      <w:r>
        <w:t xml:space="preserve">,</w:t>
      </w:r>
      <w:r>
        <w:t xml:space="preserve"> </w:t>
      </w:r>
      <w:r>
        <w:rPr>
          <w:b/>
        </w:rPr>
        <w:t xml:space="preserve">Paik I</w:t>
      </w:r>
      <w:r>
        <w:t xml:space="preserve">. 2007. Getting a job: Is there a motherhood penalty? American Journal of Sociology</w:t>
      </w:r>
      <w:r>
        <w:t xml:space="preserve"> </w:t>
      </w:r>
      <w:r>
        <w:rPr>
          <w:b/>
        </w:rPr>
        <w:t xml:space="preserve">112</w:t>
      </w:r>
      <w:r>
        <w:t xml:space="preserve">:1297–1339. doi:</w:t>
      </w:r>
      <w:hyperlink r:id="rId56">
        <w:r>
          <w:rPr>
            <w:rStyle w:val="Hyperlink"/>
          </w:rPr>
          <w:t xml:space="preserve">10.1086/511799</w:t>
        </w:r>
      </w:hyperlink>
      <w:r>
        <w:t xml:space="preserve">.</w:t>
      </w:r>
    </w:p>
    <w:p>
      <w:pPr>
        <w:pStyle w:val="BodyText"/>
      </w:pPr>
      <w:r>
        <w:t xml:space="preserve">36.</w:t>
      </w:r>
      <w:r>
        <w:t xml:space="preserve"> </w:t>
      </w:r>
      <w:r>
        <w:rPr>
          <w:b/>
        </w:rPr>
        <w:t xml:space="preserve">Fuegen K</w:t>
      </w:r>
      <w:r>
        <w:t xml:space="preserve">,</w:t>
      </w:r>
      <w:r>
        <w:t xml:space="preserve"> </w:t>
      </w:r>
      <w:r>
        <w:rPr>
          <w:b/>
        </w:rPr>
        <w:t xml:space="preserve">Biernat M</w:t>
      </w:r>
      <w:r>
        <w:t xml:space="preserve">,</w:t>
      </w:r>
      <w:r>
        <w:t xml:space="preserve"> </w:t>
      </w:r>
      <w:r>
        <w:rPr>
          <w:b/>
        </w:rPr>
        <w:t xml:space="preserve">Haines E</w:t>
      </w:r>
      <w:r>
        <w:t xml:space="preserve">,</w:t>
      </w:r>
      <w:r>
        <w:t xml:space="preserve"> </w:t>
      </w:r>
      <w:r>
        <w:rPr>
          <w:b/>
        </w:rPr>
        <w:t xml:space="preserve">Deaux K</w:t>
      </w:r>
      <w:r>
        <w:t xml:space="preserve">. 2004. Mothers and fathers in the workplace: How gender and parental status influence judgments of job-related competence. Journal of Social Issues</w:t>
      </w:r>
      <w:r>
        <w:t xml:space="preserve"> </w:t>
      </w:r>
      <w:r>
        <w:rPr>
          <w:b/>
        </w:rPr>
        <w:t xml:space="preserve">60</w:t>
      </w:r>
      <w:r>
        <w:t xml:space="preserve">:737–754. doi:</w:t>
      </w:r>
      <w:hyperlink r:id="rId57">
        <w:r>
          <w:rPr>
            <w:rStyle w:val="Hyperlink"/>
          </w:rPr>
          <w:t xml:space="preserve">10.1111/j.0022-4537.2004.00383.x</w:t>
        </w:r>
      </w:hyperlink>
      <w:r>
        <w:t xml:space="preserve">.</w:t>
      </w:r>
    </w:p>
    <w:p>
      <w:pPr>
        <w:pStyle w:val="BodyText"/>
      </w:pPr>
      <w:r>
        <w:t xml:space="preserve">37.</w:t>
      </w:r>
      <w:r>
        <w:t xml:space="preserve"> </w:t>
      </w:r>
      <w:r>
        <w:rPr>
          <w:b/>
        </w:rPr>
        <w:t xml:space="preserve">Xu YJ</w:t>
      </w:r>
      <w:r>
        <w:t xml:space="preserve">. 2008. Gender Disparity in STEM Disciplines: A Study of Faculty Attrition and Turnover Intentions. Research in Higher Education</w:t>
      </w:r>
      <w:r>
        <w:t xml:space="preserve"> </w:t>
      </w:r>
      <w:r>
        <w:rPr>
          <w:b/>
        </w:rPr>
        <w:t xml:space="preserve">49</w:t>
      </w:r>
      <w:r>
        <w:t xml:space="preserve">:607–624. doi:</w:t>
      </w:r>
      <w:hyperlink r:id="rId58">
        <w:r>
          <w:rPr>
            <w:rStyle w:val="Hyperlink"/>
          </w:rPr>
          <w:t xml:space="preserve">10.1007/s11162-008-9097-4</w:t>
        </w:r>
      </w:hyperlink>
      <w:r>
        <w:t xml:space="preserve">.</w:t>
      </w:r>
    </w:p>
    <w:p>
      <w:pPr>
        <w:pStyle w:val="BodyText"/>
      </w:pPr>
      <w:r>
        <w:t xml:space="preserve">38.</w:t>
      </w:r>
      <w:r>
        <w:t xml:space="preserve"> </w:t>
      </w:r>
      <w:r>
        <w:rPr>
          <w:b/>
        </w:rPr>
        <w:t xml:space="preserve">Hwang W-C</w:t>
      </w:r>
      <w:r>
        <w:t xml:space="preserve">,</w:t>
      </w:r>
      <w:r>
        <w:t xml:space="preserve"> </w:t>
      </w:r>
      <w:r>
        <w:rPr>
          <w:b/>
        </w:rPr>
        <w:t xml:space="preserve">Goto S</w:t>
      </w:r>
      <w:r>
        <w:t xml:space="preserve">. 2008. The impact of perceived racial discrimination on the mental health of asian american and latino college students. Cultural Diversity and Ethnic Minority Psychology</w:t>
      </w:r>
      <w:r>
        <w:t xml:space="preserve"> </w:t>
      </w:r>
      <w:r>
        <w:rPr>
          <w:b/>
        </w:rPr>
        <w:t xml:space="preserve">14</w:t>
      </w:r>
      <w:r>
        <w:t xml:space="preserve">:326–335. doi:</w:t>
      </w:r>
      <w:hyperlink r:id="rId59">
        <w:r>
          <w:rPr>
            <w:rStyle w:val="Hyperlink"/>
          </w:rPr>
          <w:t xml:space="preserve">10.1037/1099-9809.14.4.326</w:t>
        </w:r>
      </w:hyperlink>
      <w:r>
        <w:t xml:space="preserve">.</w:t>
      </w:r>
    </w:p>
    <w:p>
      <w:pPr>
        <w:pStyle w:val="BodyText"/>
      </w:pPr>
      <w:r>
        <w:t xml:space="preserve">39.</w:t>
      </w:r>
      <w:r>
        <w:t xml:space="preserve"> </w:t>
      </w:r>
      <w:r>
        <w:rPr>
          <w:b/>
        </w:rPr>
        <w:t xml:space="preserve">Tran VC</w:t>
      </w:r>
      <w:r>
        <w:t xml:space="preserve">,</w:t>
      </w:r>
      <w:r>
        <w:t xml:space="preserve"> </w:t>
      </w:r>
      <w:r>
        <w:rPr>
          <w:b/>
        </w:rPr>
        <w:t xml:space="preserve">Lee J</w:t>
      </w:r>
      <w:r>
        <w:t xml:space="preserve">,</w:t>
      </w:r>
      <w:r>
        <w:t xml:space="preserve"> </w:t>
      </w:r>
      <w:r>
        <w:rPr>
          <w:b/>
        </w:rPr>
        <w:t xml:space="preserve">Huang TJ</w:t>
      </w:r>
      <w:r>
        <w:t xml:space="preserve">. 2019. Revisiting the asian second-generation advantage. Ethnic and Racial Studies</w:t>
      </w:r>
      <w:r>
        <w:t xml:space="preserve"> </w:t>
      </w:r>
      <w:r>
        <w:rPr>
          <w:b/>
        </w:rPr>
        <w:t xml:space="preserve">42</w:t>
      </w:r>
      <w:r>
        <w:t xml:space="preserve">:2248–2269. doi:</w:t>
      </w:r>
      <w:hyperlink r:id="rId60">
        <w:r>
          <w:rPr>
            <w:rStyle w:val="Hyperlink"/>
          </w:rPr>
          <w:t xml:space="preserve">10.1080/01419870.2019.1579920</w:t>
        </w:r>
      </w:hyperlink>
      <w:r>
        <w:t xml:space="preserve">.</w:t>
      </w:r>
    </w:p>
    <w:p>
      <w:pPr>
        <w:pStyle w:val="BodyText"/>
      </w:pPr>
      <w:r>
        <w:t xml:space="preserve">40.</w:t>
      </w:r>
      <w:r>
        <w:t xml:space="preserve"> </w:t>
      </w:r>
      <w:r>
        <w:rPr>
          <w:b/>
        </w:rPr>
        <w:t xml:space="preserve">Gibbs KD</w:t>
      </w:r>
      <w:r>
        <w:t xml:space="preserve">,</w:t>
      </w:r>
      <w:r>
        <w:t xml:space="preserve"> </w:t>
      </w:r>
      <w:r>
        <w:rPr>
          <w:b/>
        </w:rPr>
        <w:t xml:space="preserve">Basson J</w:t>
      </w:r>
      <w:r>
        <w:t xml:space="preserve">,</w:t>
      </w:r>
      <w:r>
        <w:t xml:space="preserve"> </w:t>
      </w:r>
      <w:r>
        <w:rPr>
          <w:b/>
        </w:rPr>
        <w:t xml:space="preserve">Xierali IM</w:t>
      </w:r>
      <w:r>
        <w:t xml:space="preserve">,</w:t>
      </w:r>
      <w:r>
        <w:t xml:space="preserve"> </w:t>
      </w:r>
      <w:r>
        <w:rPr>
          <w:b/>
        </w:rPr>
        <w:t xml:space="preserve">Broniatowski DA</w:t>
      </w:r>
      <w:r>
        <w:t xml:space="preserve">. 2016. Decoupling of the minority PhD talent pool and assistant professor hiring in medical school basic science departments in the US. eLife</w:t>
      </w:r>
      <w:r>
        <w:t xml:space="preserve"> </w:t>
      </w:r>
      <w:r>
        <w:rPr>
          <w:b/>
        </w:rPr>
        <w:t xml:space="preserve">5</w:t>
      </w:r>
      <w:r>
        <w:t xml:space="preserve">. doi:</w:t>
      </w:r>
      <w:hyperlink r:id="rId61">
        <w:r>
          <w:rPr>
            <w:rStyle w:val="Hyperlink"/>
          </w:rPr>
          <w:t xml:space="preserve">10.7554/elife.21393</w:t>
        </w:r>
      </w:hyperlink>
      <w:r>
        <w:t xml:space="preserve">.</w:t>
      </w:r>
    </w:p>
    <w:p>
      <w:pPr>
        <w:pStyle w:val="BodyText"/>
      </w:pPr>
      <w:r>
        <w:t xml:space="preserve">41.</w:t>
      </w:r>
      <w:r>
        <w:t xml:space="preserve"> </w:t>
      </w:r>
      <w:r>
        <w:rPr>
          <w:b/>
        </w:rPr>
        <w:t xml:space="preserve">Whittaker JA</w:t>
      </w:r>
      <w:r>
        <w:t xml:space="preserve">,</w:t>
      </w:r>
      <w:r>
        <w:t xml:space="preserve"> </w:t>
      </w:r>
      <w:r>
        <w:rPr>
          <w:b/>
        </w:rPr>
        <w:t xml:space="preserve">Montgomery BL</w:t>
      </w:r>
      <w:r>
        <w:t xml:space="preserve">,</w:t>
      </w:r>
      <w:r>
        <w:t xml:space="preserve"> </w:t>
      </w:r>
      <w:r>
        <w:rPr>
          <w:b/>
        </w:rPr>
        <w:t xml:space="preserve">Martinez Acosta VG</w:t>
      </w:r>
      <w:r>
        <w:t xml:space="preserve">. 2015. Retention of Underrepresented Minority Faculty: Strategic Initiatives for Institutional Value Proposition Based on Perspectives from a Range of Academic Institutions. Journal of undergraduate neuroscience education: JUNE: a publication of FUN, Faculty for Undergraduate Neuroscience</w:t>
      </w:r>
      <w:r>
        <w:t xml:space="preserve"> </w:t>
      </w:r>
      <w:r>
        <w:rPr>
          <w:b/>
        </w:rPr>
        <w:t xml:space="preserve">13</w:t>
      </w:r>
      <w:r>
        <w:t xml:space="preserve">:A136–145.</w:t>
      </w:r>
    </w:p>
    <w:p>
      <w:pPr>
        <w:pStyle w:val="BodyText"/>
      </w:pPr>
      <w:r>
        <w:t xml:space="preserve">42.</w:t>
      </w:r>
      <w:r>
        <w:t xml:space="preserve"> </w:t>
      </w:r>
      <w:r>
        <w:rPr>
          <w:b/>
        </w:rPr>
        <w:t xml:space="preserve">Pololi L</w:t>
      </w:r>
      <w:r>
        <w:t xml:space="preserve">,</w:t>
      </w:r>
      <w:r>
        <w:t xml:space="preserve"> </w:t>
      </w:r>
      <w:r>
        <w:rPr>
          <w:b/>
        </w:rPr>
        <w:t xml:space="preserve">Cooper LA</w:t>
      </w:r>
      <w:r>
        <w:t xml:space="preserve">,</w:t>
      </w:r>
      <w:r>
        <w:t xml:space="preserve"> </w:t>
      </w:r>
      <w:r>
        <w:rPr>
          <w:b/>
        </w:rPr>
        <w:t xml:space="preserve">Carr P</w:t>
      </w:r>
      <w:r>
        <w:t xml:space="preserve">. 2010. Race, Disadvantage and Faculty Experiences in Academic Medicine. Journal of General Internal Medicine</w:t>
      </w:r>
      <w:r>
        <w:t xml:space="preserve"> </w:t>
      </w:r>
      <w:r>
        <w:rPr>
          <w:b/>
        </w:rPr>
        <w:t xml:space="preserve">25</w:t>
      </w:r>
      <w:r>
        <w:t xml:space="preserve">:1363–1369. doi:</w:t>
      </w:r>
      <w:hyperlink r:id="rId62">
        <w:r>
          <w:rPr>
            <w:rStyle w:val="Hyperlink"/>
          </w:rPr>
          <w:t xml:space="preserve">10.1007/s11606-010-1478-7</w:t>
        </w:r>
      </w:hyperlink>
      <w:r>
        <w:t xml:space="preserve">.</w:t>
      </w:r>
    </w:p>
    <w:p>
      <w:pPr>
        <w:pStyle w:val="BodyText"/>
      </w:pPr>
      <w:r>
        <w:t xml:space="preserve">43.</w:t>
      </w:r>
      <w:r>
        <w:t xml:space="preserve"> </w:t>
      </w:r>
      <w:r>
        <w:rPr>
          <w:b/>
        </w:rPr>
        <w:t xml:space="preserve">Hassouneh D</w:t>
      </w:r>
      <w:r>
        <w:t xml:space="preserve">,</w:t>
      </w:r>
      <w:r>
        <w:t xml:space="preserve"> </w:t>
      </w:r>
      <w:r>
        <w:rPr>
          <w:b/>
        </w:rPr>
        <w:t xml:space="preserve">Lutz KF</w:t>
      </w:r>
      <w:r>
        <w:t xml:space="preserve">,</w:t>
      </w:r>
      <w:r>
        <w:t xml:space="preserve"> </w:t>
      </w:r>
      <w:r>
        <w:rPr>
          <w:b/>
        </w:rPr>
        <w:t xml:space="preserve">Beckett AK</w:t>
      </w:r>
      <w:r>
        <w:t xml:space="preserve">,</w:t>
      </w:r>
      <w:r>
        <w:t xml:space="preserve"> </w:t>
      </w:r>
      <w:r>
        <w:rPr>
          <w:b/>
        </w:rPr>
        <w:t xml:space="preserve">Junkins EP</w:t>
      </w:r>
      <w:r>
        <w:t xml:space="preserve">,</w:t>
      </w:r>
      <w:r>
        <w:t xml:space="preserve"> </w:t>
      </w:r>
      <w:r>
        <w:rPr>
          <w:b/>
        </w:rPr>
        <w:t xml:space="preserve">Horton LL</w:t>
      </w:r>
      <w:r>
        <w:t xml:space="preserve">. 2014. The experiences of underrepresented minority faculty in schools of medicine. Medical Education Online</w:t>
      </w:r>
      <w:r>
        <w:t xml:space="preserve"> </w:t>
      </w:r>
      <w:r>
        <w:rPr>
          <w:b/>
        </w:rPr>
        <w:t xml:space="preserve">19</w:t>
      </w:r>
      <w:r>
        <w:t xml:space="preserve">:24768. doi:</w:t>
      </w:r>
      <w:hyperlink r:id="rId63">
        <w:r>
          <w:rPr>
            <w:rStyle w:val="Hyperlink"/>
          </w:rPr>
          <w:t xml:space="preserve">10.3402/meo.v19.24768</w:t>
        </w:r>
      </w:hyperlink>
      <w:r>
        <w:t xml:space="preserve">.</w:t>
      </w:r>
    </w:p>
    <w:p>
      <w:pPr>
        <w:pStyle w:val="BodyText"/>
      </w:pPr>
      <w:r>
        <w:t xml:space="preserve">44.</w:t>
      </w:r>
      <w:r>
        <w:t xml:space="preserve"> </w:t>
      </w:r>
      <w:r>
        <w:rPr>
          <w:b/>
        </w:rPr>
        <w:t xml:space="preserve">Johnson MDL</w:t>
      </w:r>
      <w:r>
        <w:t xml:space="preserve">. 2019. mSphere of Influence: Hiring of Underrepresented Minority Assistant Professors in Medical School Basic Science Departments Has a Long Way To Go. mSphere</w:t>
      </w:r>
      <w:r>
        <w:t xml:space="preserve"> </w:t>
      </w:r>
      <w:r>
        <w:rPr>
          <w:b/>
        </w:rPr>
        <w:t xml:space="preserve">4</w:t>
      </w:r>
      <w:r>
        <w:t xml:space="preserve">. doi:</w:t>
      </w:r>
      <w:hyperlink r:id="rId64">
        <w:r>
          <w:rPr>
            <w:rStyle w:val="Hyperlink"/>
          </w:rPr>
          <w:t xml:space="preserve">10.1128/mSphere.00599-19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f8a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44" Target="https://doi.org/10.1001/jama.2015.10680" TargetMode="External" /><Relationship Type="http://schemas.openxmlformats.org/officeDocument/2006/relationships/hyperlink" Id="rId41" Target="https://doi.org/10.1001/jama.284.9.1085" TargetMode="External" /><Relationship Type="http://schemas.openxmlformats.org/officeDocument/2006/relationships/hyperlink" Id="rId55" Target="https://doi.org/10.1007/bf00287858" TargetMode="External" /><Relationship Type="http://schemas.openxmlformats.org/officeDocument/2006/relationships/hyperlink" Id="rId58" Target="https://doi.org/10.1007/s11162-008-9097-4" TargetMode="External" /><Relationship Type="http://schemas.openxmlformats.org/officeDocument/2006/relationships/hyperlink" Id="rId62" Target="https://doi.org/10.1007/s11606-010-1478-7" TargetMode="External" /><Relationship Type="http://schemas.openxmlformats.org/officeDocument/2006/relationships/hyperlink" Id="rId47" Target="https://doi.org/10.1016/s0140-6736(18)33188-x" TargetMode="External" /><Relationship Type="http://schemas.openxmlformats.org/officeDocument/2006/relationships/hyperlink" Id="rId48" Target="https://doi.org/10.1037/0022-3514.46.4.735" TargetMode="External" /><Relationship Type="http://schemas.openxmlformats.org/officeDocument/2006/relationships/hyperlink" Id="rId59" Target="https://doi.org/10.1037/1099-9809.14.4.326" TargetMode="External" /><Relationship Type="http://schemas.openxmlformats.org/officeDocument/2006/relationships/hyperlink" Id="rId52" Target="https://doi.org/10.1038/ni.3707" TargetMode="External" /><Relationship Type="http://schemas.openxmlformats.org/officeDocument/2006/relationships/hyperlink" Id="rId53" Target="https://doi.org/10.1073/pnas.1708414115" TargetMode="External" /><Relationship Type="http://schemas.openxmlformats.org/officeDocument/2006/relationships/hyperlink" Id="rId60" Target="https://doi.org/10.1080/01419870.2019.1579920" TargetMode="External" /><Relationship Type="http://schemas.openxmlformats.org/officeDocument/2006/relationships/hyperlink" Id="rId56" Target="https://doi.org/10.1086/511799" TargetMode="External" /><Relationship Type="http://schemas.openxmlformats.org/officeDocument/2006/relationships/hyperlink" Id="rId40" Target="https://doi.org/10.1093/biosci/biu076" TargetMode="External" /><Relationship Type="http://schemas.openxmlformats.org/officeDocument/2006/relationships/hyperlink" Id="rId45" Target="https://doi.org/10.1097/acm.0b013e31823be028" TargetMode="External" /><Relationship Type="http://schemas.openxmlformats.org/officeDocument/2006/relationships/hyperlink" Id="rId57" Target="https://doi.org/10.1111/j.0022-4537.2004.00383.x" TargetMode="External" /><Relationship Type="http://schemas.openxmlformats.org/officeDocument/2006/relationships/hyperlink" Id="rId50" Target="https://doi.org/10.1128/JVI.00739-17" TargetMode="External" /><Relationship Type="http://schemas.openxmlformats.org/officeDocument/2006/relationships/hyperlink" Id="rId51" Target="https://doi.org/10.1128/mBio.00846-13" TargetMode="External" /><Relationship Type="http://schemas.openxmlformats.org/officeDocument/2006/relationships/hyperlink" Id="rId64" Target="https://doi.org/10.1128/mSphere.00599-19" TargetMode="External" /><Relationship Type="http://schemas.openxmlformats.org/officeDocument/2006/relationships/hyperlink" Id="rId46" Target="https://doi.org/10.1146/annurev-psych-113011-143809" TargetMode="External" /><Relationship Type="http://schemas.openxmlformats.org/officeDocument/2006/relationships/hyperlink" Id="rId39" Target="https://doi.org/10.1187/cbe.16-09-0287" TargetMode="External" /><Relationship Type="http://schemas.openxmlformats.org/officeDocument/2006/relationships/hyperlink" Id="rId42" Target="https://doi.org/10.1371/journal.pone.0114736" TargetMode="External" /><Relationship Type="http://schemas.openxmlformats.org/officeDocument/2006/relationships/hyperlink" Id="rId43" Target="https://doi.org/10.1371/journal.pone.0190606" TargetMode="External" /><Relationship Type="http://schemas.openxmlformats.org/officeDocument/2006/relationships/hyperlink" Id="rId49" Target="https://doi.org/10.1371/journal.pone.0202743" TargetMode="External" /><Relationship Type="http://schemas.openxmlformats.org/officeDocument/2006/relationships/hyperlink" Id="rId54" Target="https://doi.org/10.3390/socsci6010029" TargetMode="External" /><Relationship Type="http://schemas.openxmlformats.org/officeDocument/2006/relationships/hyperlink" Id="rId63" Target="https://doi.org/10.3402/meo.v19.24768" TargetMode="External" /><Relationship Type="http://schemas.openxmlformats.org/officeDocument/2006/relationships/hyperlink" Id="rId61" Target="https://doi.org/10.7554/elife.21393" TargetMode="External" /><Relationship Type="http://schemas.openxmlformats.org/officeDocument/2006/relationships/hyperlink" Id="rId35" Target="https://github.com/akhagan/Hagan_SpeakerDiversity_XXXX_2019/" TargetMode="External" /><Relationship Type="http://schemas.openxmlformats.org/officeDocument/2006/relationships/hyperlink" Id="rId36" Target="https://github.com/diversifymicrobiology/DiversifyMicrobiology.github.io/" TargetMode="External" /><Relationship Type="http://schemas.openxmlformats.org/officeDocument/2006/relationships/hyperlink" Id="rId21" Target="mailto:akhagan@umich.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1/jama.2015.10680" TargetMode="External" /><Relationship Type="http://schemas.openxmlformats.org/officeDocument/2006/relationships/hyperlink" Id="rId41" Target="https://doi.org/10.1001/jama.284.9.1085" TargetMode="External" /><Relationship Type="http://schemas.openxmlformats.org/officeDocument/2006/relationships/hyperlink" Id="rId55" Target="https://doi.org/10.1007/bf00287858" TargetMode="External" /><Relationship Type="http://schemas.openxmlformats.org/officeDocument/2006/relationships/hyperlink" Id="rId58" Target="https://doi.org/10.1007/s11162-008-9097-4" TargetMode="External" /><Relationship Type="http://schemas.openxmlformats.org/officeDocument/2006/relationships/hyperlink" Id="rId62" Target="https://doi.org/10.1007/s11606-010-1478-7" TargetMode="External" /><Relationship Type="http://schemas.openxmlformats.org/officeDocument/2006/relationships/hyperlink" Id="rId47" Target="https://doi.org/10.1016/s0140-6736(18)33188-x" TargetMode="External" /><Relationship Type="http://schemas.openxmlformats.org/officeDocument/2006/relationships/hyperlink" Id="rId48" Target="https://doi.org/10.1037/0022-3514.46.4.735" TargetMode="External" /><Relationship Type="http://schemas.openxmlformats.org/officeDocument/2006/relationships/hyperlink" Id="rId59" Target="https://doi.org/10.1037/1099-9809.14.4.326" TargetMode="External" /><Relationship Type="http://schemas.openxmlformats.org/officeDocument/2006/relationships/hyperlink" Id="rId52" Target="https://doi.org/10.1038/ni.3707" TargetMode="External" /><Relationship Type="http://schemas.openxmlformats.org/officeDocument/2006/relationships/hyperlink" Id="rId53" Target="https://doi.org/10.1073/pnas.1708414115" TargetMode="External" /><Relationship Type="http://schemas.openxmlformats.org/officeDocument/2006/relationships/hyperlink" Id="rId60" Target="https://doi.org/10.1080/01419870.2019.1579920" TargetMode="External" /><Relationship Type="http://schemas.openxmlformats.org/officeDocument/2006/relationships/hyperlink" Id="rId56" Target="https://doi.org/10.1086/511799" TargetMode="External" /><Relationship Type="http://schemas.openxmlformats.org/officeDocument/2006/relationships/hyperlink" Id="rId40" Target="https://doi.org/10.1093/biosci/biu076" TargetMode="External" /><Relationship Type="http://schemas.openxmlformats.org/officeDocument/2006/relationships/hyperlink" Id="rId45" Target="https://doi.org/10.1097/acm.0b013e31823be028" TargetMode="External" /><Relationship Type="http://schemas.openxmlformats.org/officeDocument/2006/relationships/hyperlink" Id="rId57" Target="https://doi.org/10.1111/j.0022-4537.2004.00383.x" TargetMode="External" /><Relationship Type="http://schemas.openxmlformats.org/officeDocument/2006/relationships/hyperlink" Id="rId50" Target="https://doi.org/10.1128/JVI.00739-17" TargetMode="External" /><Relationship Type="http://schemas.openxmlformats.org/officeDocument/2006/relationships/hyperlink" Id="rId51" Target="https://doi.org/10.1128/mBio.00846-13" TargetMode="External" /><Relationship Type="http://schemas.openxmlformats.org/officeDocument/2006/relationships/hyperlink" Id="rId64" Target="https://doi.org/10.1128/mSphere.00599-19" TargetMode="External" /><Relationship Type="http://schemas.openxmlformats.org/officeDocument/2006/relationships/hyperlink" Id="rId46" Target="https://doi.org/10.1146/annurev-psych-113011-143809" TargetMode="External" /><Relationship Type="http://schemas.openxmlformats.org/officeDocument/2006/relationships/hyperlink" Id="rId39" Target="https://doi.org/10.1187/cbe.16-09-0287" TargetMode="External" /><Relationship Type="http://schemas.openxmlformats.org/officeDocument/2006/relationships/hyperlink" Id="rId42" Target="https://doi.org/10.1371/journal.pone.0114736" TargetMode="External" /><Relationship Type="http://schemas.openxmlformats.org/officeDocument/2006/relationships/hyperlink" Id="rId43" Target="https://doi.org/10.1371/journal.pone.0190606" TargetMode="External" /><Relationship Type="http://schemas.openxmlformats.org/officeDocument/2006/relationships/hyperlink" Id="rId49" Target="https://doi.org/10.1371/journal.pone.0202743" TargetMode="External" /><Relationship Type="http://schemas.openxmlformats.org/officeDocument/2006/relationships/hyperlink" Id="rId54" Target="https://doi.org/10.3390/socsci6010029" TargetMode="External" /><Relationship Type="http://schemas.openxmlformats.org/officeDocument/2006/relationships/hyperlink" Id="rId63" Target="https://doi.org/10.3402/meo.v19.24768" TargetMode="External" /><Relationship Type="http://schemas.openxmlformats.org/officeDocument/2006/relationships/hyperlink" Id="rId61" Target="https://doi.org/10.7554/elife.21393" TargetMode="External" /><Relationship Type="http://schemas.openxmlformats.org/officeDocument/2006/relationships/hyperlink" Id="rId35" Target="https://github.com/akhagan/Hagan_SpeakerDiversity_XXXX_2019/" TargetMode="External" /><Relationship Type="http://schemas.openxmlformats.org/officeDocument/2006/relationships/hyperlink" Id="rId36" Target="https://github.com/diversifymicrobiology/DiversifyMicrobiology.github.io/" TargetMode="External" /><Relationship Type="http://schemas.openxmlformats.org/officeDocument/2006/relationships/hyperlink" Id="rId21" Target="mailto:akhagan@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should change to improve invited speaker diversity and retain trainees</dc:title>
  <dc:creator/>
  <dcterms:created xsi:type="dcterms:W3CDTF">2019-09-26T17:30:58Z</dcterms:created>
  <dcterms:modified xsi:type="dcterms:W3CDTF">2019-09-26T17:30:58Z</dcterms:modified>
</cp:coreProperties>
</file>