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Project</w:t>
      </w:r>
      <w:r>
        <w:t xml:space="preserve"> </w:t>
      </w:r>
      <w:r>
        <w:t xml:space="preserve">Questions</w:t>
      </w:r>
    </w:p>
    <w:p>
      <w:pPr>
        <w:pStyle w:val="Subtitle"/>
      </w:pPr>
      <w:r>
        <w:t xml:space="preserve">DATA5207:</w:t>
      </w:r>
      <w:r>
        <w:t xml:space="preserve"> </w:t>
      </w:r>
      <w:r>
        <w:t xml:space="preserve">Data</w:t>
      </w:r>
      <w:r>
        <w:t xml:space="preserve"> </w:t>
      </w:r>
      <w:r>
        <w:t xml:space="preserve">Analysis</w:t>
      </w:r>
      <w:r>
        <w:t xml:space="preserve"> </w:t>
      </w:r>
      <w:r>
        <w:t xml:space="preserve">in</w:t>
      </w:r>
      <w:r>
        <w:t xml:space="preserve"> </w:t>
      </w:r>
      <w:r>
        <w:t xml:space="preserve">the</w:t>
      </w:r>
      <w:r>
        <w:t xml:space="preserve"> </w:t>
      </w:r>
      <w:r>
        <w:t xml:space="preserve">social</w:t>
      </w:r>
      <w:r>
        <w:t xml:space="preserve"> </w:t>
      </w:r>
      <w:r>
        <w:t xml:space="preserve">sciences</w:t>
      </w:r>
    </w:p>
    <w:p>
      <w:pPr>
        <w:pStyle w:val="Author"/>
      </w:pPr>
      <w:r>
        <w:t xml:space="preserve">NAME</w:t>
      </w:r>
    </w:p>
    <w:p>
      <w:pPr>
        <w:pStyle w:val="Date"/>
      </w:pPr>
      <w:r>
        <w:t xml:space="preserve">March</w:t>
      </w:r>
      <w:r>
        <w:t xml:space="preserve"> </w:t>
      </w:r>
      <w:r>
        <w:t xml:space="preserve">03,</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p>
      <w:r>
        <w:br w:type="page"/>
      </w:r>
    </w:p>
    <w:p>
      <w:r>
        <w:br w:type="page"/>
      </w:r>
    </w:p>
    <w:bookmarkStart w:id="20" w:name="introduction"/>
    <w:p>
      <w:pPr>
        <w:pStyle w:val="Heading1"/>
      </w:pPr>
      <w:r>
        <w:t xml:space="preserve">Introduction</w:t>
      </w:r>
    </w:p>
    <w:p>
      <w:pPr>
        <w:pStyle w:val="FirstParagraph"/>
      </w:pPr>
      <w:r>
        <w:t xml:space="preserve">The monitoring of health statistics forms creates a strong foundation for the tracking of the general population health (Bchir et al., 2006) and guides policy formulation around matters health (Krieger et al., 1997). Studies have been undertaken to map out the relation between health metrics and socio-economic aspects, including (Braveman et al., 2010) checking on education, income levels and race and found that the least educated and lower income groupings were often associated with lower health status.</w:t>
      </w:r>
    </w:p>
    <w:p>
      <w:pPr>
        <w:pStyle w:val="BodyText"/>
      </w:pPr>
      <w:r>
        <w:t xml:space="preserve">The main objective is pointing out the predictors for better health outcomes at the county level in the United States. The relationship existing between various variables is assessed and how they generally influence the number of deaths among United States of America county residents under age 75 per 100,000 population (age-adjusted). Regression analysis with the dependent variable, premature age-adjusted mortality variable, an important health indicator (Mansfield et al., 1999) and predictor variables are selected based on previous research (Cheng &amp; Kindig, 2012) is undertaken.</w:t>
      </w:r>
    </w:p>
    <w:p>
      <w:pPr>
        <w:pStyle w:val="BodyText"/>
      </w:pPr>
      <w:r>
        <w:t xml:space="preserve">The predictors based on strong association to premature age-adjusted mortality variable by previous studies include variables with information on income and income inequality (Adler &amp; Newman, 2002), population, demography aspects (Cooper et al., 2001) including race, health care costs and associated level of access (Han et al., 2024), and numbers on primary care providers, preventable hospitalizations (Bhanot et al., 2024), high school graduation rates and college education levels (Roy et al., 2020), the percentage of single-parent households, and children living in poverty guidelines, and finally percentages of adult obesity and smoking (Rosella &amp; Buajitti, 2024).</w:t>
      </w:r>
    </w:p>
    <w:p>
      <w:r>
        <w:br w:type="page"/>
      </w:r>
    </w:p>
    <w:bookmarkEnd w:id="20"/>
    <w:bookmarkStart w:id="37" w:name="methods"/>
    <w:p>
      <w:pPr>
        <w:pStyle w:val="Heading1"/>
      </w:pPr>
      <w:r>
        <w:t xml:space="preserve">Methods</w:t>
      </w:r>
    </w:p>
    <w:p>
      <w:pPr>
        <w:pStyle w:val="FirstParagraph"/>
      </w:pPr>
      <w:r>
        <w:t xml:space="preserve">The data on different health outcomes within United States counties, is obtained from the Robert Wood Johnson Foundation and the University of Wisconsin Population Health Institute. A multiple regression model is used to assess the linear relation, based on its ease of interpretation (Anandhi &amp; Nathiya, 2023), with no pre-processing of data undertaken before fitting.</w:t>
      </w:r>
    </w:p>
    <w:bookmarkStart w:id="22" w:name="data-information"/>
    <w:p>
      <w:pPr>
        <w:pStyle w:val="Heading2"/>
      </w:pPr>
      <w:r>
        <w:t xml:space="preserve">Data Information</w:t>
      </w:r>
    </w:p>
    <w:p>
      <w:pPr>
        <w:pStyle w:val="FirstParagraph"/>
      </w:pPr>
      <w:r>
        <w:t xml:space="preserve">The data contains 3142 observations and 20 features.</w:t>
      </w:r>
    </w:p>
    <w:bookmarkStart w:id="21" w:name="measures"/>
    <w:p>
      <w:pPr>
        <w:pStyle w:val="Heading3"/>
      </w:pPr>
      <w:r>
        <w:t xml:space="preserve">Measures</w:t>
      </w:r>
    </w:p>
    <w:p>
      <w:pPr>
        <w:pStyle w:val="FirstParagraph"/>
      </w:pPr>
      <w:r>
        <w:t xml:space="preserve">Dependent Variables:</w:t>
      </w:r>
      <w:r>
        <w:t xml:space="preserve"> </w:t>
      </w:r>
      <w:r>
        <w:rPr>
          <w:rStyle w:val="VerbatimChar"/>
        </w:rPr>
        <w:t xml:space="preserve">Premature age-adjusted mortality</w:t>
      </w:r>
    </w:p>
    <w:p>
      <w:pPr>
        <w:pStyle w:val="BodyText"/>
      </w:pPr>
      <w:r>
        <w:t xml:space="preserve">Independent Variables:</w:t>
      </w:r>
    </w:p>
    <w:p>
      <w:pPr>
        <w:pStyle w:val="Compact"/>
        <w:numPr>
          <w:ilvl w:val="0"/>
          <w:numId w:val="1001"/>
        </w:numPr>
      </w:pPr>
      <w:r>
        <w:t xml:space="preserve">Median household income: Small Area Income and Poverty Estimates</w:t>
      </w:r>
    </w:p>
    <w:p>
      <w:pPr>
        <w:pStyle w:val="Compact"/>
        <w:numPr>
          <w:ilvl w:val="0"/>
          <w:numId w:val="1001"/>
        </w:numPr>
      </w:pPr>
      <w:r>
        <w:t xml:space="preserve">Income inequality: Ratio of household income at the 80th percentile to income at the 20th percentile</w:t>
      </w:r>
    </w:p>
    <w:p>
      <w:pPr>
        <w:pStyle w:val="Compact"/>
        <w:numPr>
          <w:ilvl w:val="0"/>
          <w:numId w:val="1001"/>
        </w:numPr>
      </w:pPr>
      <w:r>
        <w:t xml:space="preserve">Census Population Estimates 2016</w:t>
      </w:r>
    </w:p>
    <w:p>
      <w:pPr>
        <w:pStyle w:val="Compact"/>
        <w:numPr>
          <w:ilvl w:val="0"/>
          <w:numId w:val="1002"/>
        </w:numPr>
      </w:pPr>
      <w:r>
        <w:t xml:space="preserve">Population Size</w:t>
      </w:r>
    </w:p>
    <w:p>
      <w:pPr>
        <w:pStyle w:val="Compact"/>
        <w:numPr>
          <w:ilvl w:val="0"/>
          <w:numId w:val="1002"/>
        </w:numPr>
      </w:pPr>
      <w:r>
        <w:t xml:space="preserve">Population percentages by Race</w:t>
      </w:r>
    </w:p>
    <w:p>
      <w:pPr>
        <w:pStyle w:val="Compact"/>
        <w:numPr>
          <w:ilvl w:val="1"/>
          <w:numId w:val="1003"/>
        </w:numPr>
      </w:pPr>
      <w:r>
        <w:t xml:space="preserve">% Non-Hispanic African American:</w:t>
      </w:r>
    </w:p>
    <w:p>
      <w:pPr>
        <w:pStyle w:val="Compact"/>
        <w:numPr>
          <w:ilvl w:val="1"/>
          <w:numId w:val="1003"/>
        </w:numPr>
      </w:pPr>
      <w:r>
        <w:t xml:space="preserve">% American Indian and Alaskan Native:</w:t>
      </w:r>
    </w:p>
    <w:p>
      <w:pPr>
        <w:pStyle w:val="Compact"/>
        <w:numPr>
          <w:ilvl w:val="1"/>
          <w:numId w:val="1003"/>
        </w:numPr>
      </w:pPr>
      <w:r>
        <w:t xml:space="preserve">% Asian:</w:t>
      </w:r>
    </w:p>
    <w:p>
      <w:pPr>
        <w:pStyle w:val="Compact"/>
        <w:numPr>
          <w:ilvl w:val="1"/>
          <w:numId w:val="1003"/>
        </w:numPr>
      </w:pPr>
      <w:r>
        <w:t xml:space="preserve">% Native Hawaiian/Other Pacific Islander:</w:t>
      </w:r>
    </w:p>
    <w:p>
      <w:pPr>
        <w:pStyle w:val="Compact"/>
        <w:numPr>
          <w:ilvl w:val="1"/>
          <w:numId w:val="1003"/>
        </w:numPr>
      </w:pPr>
      <w:r>
        <w:t xml:space="preserve">% Hispanic:</w:t>
      </w:r>
    </w:p>
    <w:p>
      <w:pPr>
        <w:pStyle w:val="Compact"/>
        <w:numPr>
          <w:ilvl w:val="1"/>
          <w:numId w:val="1003"/>
        </w:numPr>
      </w:pPr>
      <w:r>
        <w:t xml:space="preserve">% Non-Hispanic white:</w:t>
      </w:r>
    </w:p>
    <w:p>
      <w:pPr>
        <w:pStyle w:val="Compact"/>
        <w:numPr>
          <w:ilvl w:val="0"/>
          <w:numId w:val="1004"/>
        </w:numPr>
      </w:pPr>
      <w:r>
        <w:t xml:space="preserve">Uninsured adults:</w:t>
      </w:r>
    </w:p>
    <w:p>
      <w:pPr>
        <w:pStyle w:val="Compact"/>
        <w:numPr>
          <w:ilvl w:val="0"/>
          <w:numId w:val="1004"/>
        </w:numPr>
      </w:pPr>
      <w:r>
        <w:t xml:space="preserve">Health care costs</w:t>
      </w:r>
    </w:p>
    <w:p>
      <w:pPr>
        <w:pStyle w:val="Compact"/>
        <w:numPr>
          <w:ilvl w:val="0"/>
          <w:numId w:val="1004"/>
        </w:numPr>
      </w:pPr>
      <w:r>
        <w:t xml:space="preserve">Other primary care providers</w:t>
      </w:r>
    </w:p>
    <w:p>
      <w:pPr>
        <w:pStyle w:val="Compact"/>
        <w:numPr>
          <w:ilvl w:val="0"/>
          <w:numId w:val="1004"/>
        </w:numPr>
      </w:pPr>
      <w:r>
        <w:t xml:space="preserve">Preventable hospital stays: Number of hospital stays for ambulatory-care sensitive conditions per 1,000 Medicare enrollees</w:t>
      </w:r>
    </w:p>
    <w:p>
      <w:pPr>
        <w:pStyle w:val="Compact"/>
        <w:numPr>
          <w:ilvl w:val="0"/>
          <w:numId w:val="1004"/>
        </w:numPr>
      </w:pPr>
      <w:r>
        <w:t xml:space="preserve">High school graduation: Percentage of ninth-grade cohort that graduates in four years</w:t>
      </w:r>
    </w:p>
    <w:p>
      <w:pPr>
        <w:pStyle w:val="Compact"/>
        <w:numPr>
          <w:ilvl w:val="0"/>
          <w:numId w:val="1004"/>
        </w:numPr>
      </w:pPr>
      <w:r>
        <w:t xml:space="preserve">Some college: Percentage of adults ages 25-44 with some post-secondary education</w:t>
      </w:r>
    </w:p>
    <w:p>
      <w:pPr>
        <w:pStyle w:val="Compact"/>
        <w:numPr>
          <w:ilvl w:val="0"/>
          <w:numId w:val="1004"/>
        </w:numPr>
      </w:pPr>
      <w:r>
        <w:t xml:space="preserve">Children in single-parent households: Percentage of children that live in a household headed by single parent</w:t>
      </w:r>
    </w:p>
    <w:p>
      <w:pPr>
        <w:pStyle w:val="Compact"/>
        <w:numPr>
          <w:ilvl w:val="0"/>
          <w:numId w:val="1004"/>
        </w:numPr>
      </w:pPr>
      <w:r>
        <w:t xml:space="preserve">Children in poverty: Percentage of children under age 18 in poverty</w:t>
      </w:r>
    </w:p>
    <w:p>
      <w:pPr>
        <w:pStyle w:val="Compact"/>
        <w:numPr>
          <w:ilvl w:val="0"/>
          <w:numId w:val="1004"/>
        </w:numPr>
      </w:pPr>
      <w:r>
        <w:t xml:space="preserve">Adult smoking: Percentage of adults who are current smokers</w:t>
      </w:r>
    </w:p>
    <w:p>
      <w:pPr>
        <w:pStyle w:val="Compact"/>
        <w:numPr>
          <w:ilvl w:val="0"/>
          <w:numId w:val="1004"/>
        </w:numPr>
      </w:pPr>
      <w:r>
        <w:t xml:space="preserve">Adult obesity: Percentage of adults that report a BMI of 30 or more</w:t>
      </w:r>
    </w:p>
    <w:bookmarkEnd w:id="21"/>
    <w:bookmarkEnd w:id="22"/>
    <w:bookmarkStart w:id="31" w:name="descriptive-statistics"/>
    <w:p>
      <w:pPr>
        <w:pStyle w:val="Heading2"/>
      </w:pPr>
      <w:r>
        <w:t xml:space="preserve">Descriptive Statistics</w:t>
      </w:r>
    </w:p>
    <w:p>
      <w:pPr>
        <w:pStyle w:val="FirstParagraph"/>
      </w:pPr>
      <w:r>
        <w:t xml:space="preserve">Summary statistics of the data is as below:</w:t>
      </w:r>
    </w:p>
    <w:tbl>
      <w:tblPr>
        <w:tblStyle w:val="Table"/>
        <w:tblW w:type="pct" w:w="5000"/>
        <w:tblLayout w:type="fixed"/>
        <w:tblLook w:firstRow="1" w:lastRow="0" w:firstColumn="0" w:lastColumn="0" w:noHBand="0" w:noVBand="0" w:val="0020"/>
      </w:tblPr>
      <w:tblGrid>
        <w:gridCol w:w="3076"/>
        <w:gridCol w:w="916"/>
        <w:gridCol w:w="981"/>
        <w:gridCol w:w="916"/>
        <w:gridCol w:w="1047"/>
        <w:gridCol w:w="981"/>
      </w:tblGrid>
      <w:tr>
        <w:trPr>
          <w:tblHeader w:val="on"/>
        </w:trPr>
        <w:tc>
          <w:tcPr/>
          <w:p>
            <w:pPr>
              <w:pStyle w:val="Compact"/>
            </w:pPr>
          </w:p>
        </w:tc>
        <w:tc>
          <w:tcPr/>
          <w:p>
            <w:pPr>
              <w:pStyle w:val="Compact"/>
              <w:jc w:val="right"/>
            </w:pPr>
            <w:r>
              <w:t xml:space="preserve">min</w:t>
            </w:r>
          </w:p>
        </w:tc>
        <w:tc>
          <w:tcPr/>
          <w:p>
            <w:pPr>
              <w:pStyle w:val="Compact"/>
              <w:jc w:val="right"/>
            </w:pPr>
            <w:r>
              <w:t xml:space="preserve">mean</w:t>
            </w:r>
          </w:p>
        </w:tc>
        <w:tc>
          <w:tcPr/>
          <w:p>
            <w:pPr>
              <w:pStyle w:val="Compact"/>
              <w:jc w:val="right"/>
            </w:pPr>
            <w:r>
              <w:t xml:space="preserve">median</w:t>
            </w:r>
          </w:p>
        </w:tc>
        <w:tc>
          <w:tcPr/>
          <w:p>
            <w:pPr>
              <w:pStyle w:val="Compact"/>
              <w:jc w:val="right"/>
            </w:pPr>
            <w:r>
              <w:t xml:space="preserve">max</w:t>
            </w:r>
          </w:p>
        </w:tc>
        <w:tc>
          <w:tcPr/>
          <w:p>
            <w:pPr>
              <w:pStyle w:val="Compact"/>
              <w:jc w:val="right"/>
            </w:pPr>
            <w:r>
              <w:t xml:space="preserve">sd</w:t>
            </w:r>
          </w:p>
        </w:tc>
      </w:tr>
      <w:tr>
        <w:tc>
          <w:tcPr/>
          <w:p>
            <w:pPr>
              <w:pStyle w:val="Compact"/>
              <w:jc w:val="left"/>
            </w:pPr>
            <w:r>
              <w:t xml:space="preserve">age_adjusted_mortality</w:t>
            </w:r>
          </w:p>
        </w:tc>
        <w:tc>
          <w:tcPr/>
          <w:p>
            <w:pPr>
              <w:pStyle w:val="Compact"/>
              <w:jc w:val="right"/>
            </w:pPr>
            <w:r>
              <w:t xml:space="preserve">133.0000000</w:t>
            </w:r>
          </w:p>
        </w:tc>
        <w:tc>
          <w:tcPr/>
          <w:p>
            <w:pPr>
              <w:pStyle w:val="Compact"/>
              <w:jc w:val="right"/>
            </w:pPr>
            <w:r>
              <w:t xml:space="preserve">401.3173871</w:t>
            </w:r>
          </w:p>
        </w:tc>
        <w:tc>
          <w:tcPr/>
          <w:p>
            <w:pPr>
              <w:pStyle w:val="Compact"/>
              <w:jc w:val="right"/>
            </w:pPr>
            <w:r>
              <w:t xml:space="preserve">388.3000000</w:t>
            </w:r>
          </w:p>
        </w:tc>
        <w:tc>
          <w:tcPr/>
          <w:p>
            <w:pPr>
              <w:pStyle w:val="Compact"/>
              <w:jc w:val="right"/>
            </w:pPr>
            <w:r>
              <w:t xml:space="preserve">1142.600000</w:t>
            </w:r>
          </w:p>
        </w:tc>
        <w:tc>
          <w:tcPr/>
          <w:p>
            <w:pPr>
              <w:pStyle w:val="Compact"/>
              <w:jc w:val="right"/>
            </w:pPr>
            <w:r>
              <w:t xml:space="preserve">109.7046107</w:t>
            </w:r>
          </w:p>
        </w:tc>
      </w:tr>
      <w:tr>
        <w:tc>
          <w:tcPr/>
          <w:p>
            <w:pPr>
              <w:pStyle w:val="Compact"/>
              <w:jc w:val="left"/>
            </w:pPr>
            <w:r>
              <w:t xml:space="preserve">household_income</w:t>
            </w:r>
          </w:p>
        </w:tc>
        <w:tc>
          <w:tcPr/>
          <w:p>
            <w:pPr>
              <w:pStyle w:val="Compact"/>
              <w:jc w:val="right"/>
            </w:pPr>
            <w:r>
              <w:t xml:space="preserve">22045.0000000</w:t>
            </w:r>
          </w:p>
        </w:tc>
        <w:tc>
          <w:tcPr/>
          <w:p>
            <w:pPr>
              <w:pStyle w:val="Compact"/>
              <w:jc w:val="right"/>
            </w:pPr>
            <w:r>
              <w:t xml:space="preserve">49522.1139764</w:t>
            </w:r>
          </w:p>
        </w:tc>
        <w:tc>
          <w:tcPr/>
          <w:p>
            <w:pPr>
              <w:pStyle w:val="Compact"/>
              <w:jc w:val="right"/>
            </w:pPr>
            <w:r>
              <w:t xml:space="preserve">47589.0000000</w:t>
            </w:r>
          </w:p>
        </w:tc>
        <w:tc>
          <w:tcPr/>
          <w:p>
            <w:pPr>
              <w:pStyle w:val="Compact"/>
              <w:jc w:val="right"/>
            </w:pPr>
            <w:r>
              <w:t xml:space="preserve">134609.000000</w:t>
            </w:r>
          </w:p>
        </w:tc>
        <w:tc>
          <w:tcPr/>
          <w:p>
            <w:pPr>
              <w:pStyle w:val="Compact"/>
              <w:jc w:val="right"/>
            </w:pPr>
            <w:r>
              <w:t xml:space="preserve">12887.3096222</w:t>
            </w:r>
          </w:p>
        </w:tc>
      </w:tr>
      <w:tr>
        <w:tc>
          <w:tcPr/>
          <w:p>
            <w:pPr>
              <w:pStyle w:val="Compact"/>
              <w:jc w:val="left"/>
            </w:pPr>
            <w:r>
              <w:t xml:space="preserve">population</w:t>
            </w:r>
          </w:p>
        </w:tc>
        <w:tc>
          <w:tcPr/>
          <w:p>
            <w:pPr>
              <w:pStyle w:val="Compact"/>
              <w:jc w:val="right"/>
            </w:pPr>
            <w:r>
              <w:t xml:space="preserve">88.0000000</w:t>
            </w:r>
          </w:p>
        </w:tc>
        <w:tc>
          <w:tcPr/>
          <w:p>
            <w:pPr>
              <w:pStyle w:val="Compact"/>
              <w:jc w:val="right"/>
            </w:pPr>
            <w:r>
              <w:t xml:space="preserve">102841.3472311</w:t>
            </w:r>
          </w:p>
        </w:tc>
        <w:tc>
          <w:tcPr/>
          <w:p>
            <w:pPr>
              <w:pStyle w:val="Compact"/>
              <w:jc w:val="right"/>
            </w:pPr>
            <w:r>
              <w:t xml:space="preserve">25771.0000000</w:t>
            </w:r>
          </w:p>
        </w:tc>
        <w:tc>
          <w:tcPr/>
          <w:p>
            <w:pPr>
              <w:pStyle w:val="Compact"/>
              <w:jc w:val="right"/>
            </w:pPr>
            <w:r>
              <w:t xml:space="preserve">10137915.000000</w:t>
            </w:r>
          </w:p>
        </w:tc>
        <w:tc>
          <w:tcPr/>
          <w:p>
            <w:pPr>
              <w:pStyle w:val="Compact"/>
              <w:jc w:val="right"/>
            </w:pPr>
            <w:r>
              <w:t xml:space="preserve">330319.1419040</w:t>
            </w:r>
          </w:p>
        </w:tc>
      </w:tr>
      <w:tr>
        <w:tc>
          <w:tcPr/>
          <w:p>
            <w:pPr>
              <w:pStyle w:val="Compact"/>
              <w:jc w:val="left"/>
            </w:pPr>
            <w:r>
              <w:t xml:space="preserve">percent_african_american</w:t>
            </w:r>
          </w:p>
        </w:tc>
        <w:tc>
          <w:tcPr/>
          <w:p>
            <w:pPr>
              <w:pStyle w:val="Compact"/>
              <w:jc w:val="right"/>
            </w:pPr>
            <w:r>
              <w:t xml:space="preserve">0.0000000</w:t>
            </w:r>
          </w:p>
        </w:tc>
        <w:tc>
          <w:tcPr/>
          <w:p>
            <w:pPr>
              <w:pStyle w:val="Compact"/>
              <w:jc w:val="right"/>
            </w:pPr>
            <w:r>
              <w:t xml:space="preserve">8.9426385</w:t>
            </w:r>
          </w:p>
        </w:tc>
        <w:tc>
          <w:tcPr/>
          <w:p>
            <w:pPr>
              <w:pStyle w:val="Compact"/>
              <w:jc w:val="right"/>
            </w:pPr>
            <w:r>
              <w:t xml:space="preserve">2.1734134</w:t>
            </w:r>
          </w:p>
        </w:tc>
        <w:tc>
          <w:tcPr/>
          <w:p>
            <w:pPr>
              <w:pStyle w:val="Compact"/>
              <w:jc w:val="right"/>
            </w:pPr>
            <w:r>
              <w:t xml:space="preserve">85.151548</w:t>
            </w:r>
          </w:p>
        </w:tc>
        <w:tc>
          <w:tcPr/>
          <w:p>
            <w:pPr>
              <w:pStyle w:val="Compact"/>
              <w:jc w:val="right"/>
            </w:pPr>
            <w:r>
              <w:t xml:space="preserve">14.3111752</w:t>
            </w:r>
          </w:p>
        </w:tc>
      </w:tr>
      <w:tr>
        <w:tc>
          <w:tcPr/>
          <w:p>
            <w:pPr>
              <w:pStyle w:val="Compact"/>
              <w:jc w:val="left"/>
            </w:pPr>
            <w:r>
              <w:t xml:space="preserve">percent_american_indian_alaskan_native</w:t>
            </w:r>
          </w:p>
        </w:tc>
        <w:tc>
          <w:tcPr/>
          <w:p>
            <w:pPr>
              <w:pStyle w:val="Compact"/>
              <w:jc w:val="right"/>
            </w:pPr>
            <w:r>
              <w:t xml:space="preserve">0.0000000</w:t>
            </w:r>
          </w:p>
        </w:tc>
        <w:tc>
          <w:tcPr/>
          <w:p>
            <w:pPr>
              <w:pStyle w:val="Compact"/>
              <w:jc w:val="right"/>
            </w:pPr>
            <w:r>
              <w:t xml:space="preserve">2.3093548</w:t>
            </w:r>
          </w:p>
        </w:tc>
        <w:tc>
          <w:tcPr/>
          <w:p>
            <w:pPr>
              <w:pStyle w:val="Compact"/>
              <w:jc w:val="right"/>
            </w:pPr>
            <w:r>
              <w:t xml:space="preserve">0.6104830</w:t>
            </w:r>
          </w:p>
        </w:tc>
        <w:tc>
          <w:tcPr/>
          <w:p>
            <w:pPr>
              <w:pStyle w:val="Compact"/>
              <w:jc w:val="right"/>
            </w:pPr>
            <w:r>
              <w:t xml:space="preserve">93.067462</w:t>
            </w:r>
          </w:p>
        </w:tc>
        <w:tc>
          <w:tcPr/>
          <w:p>
            <w:pPr>
              <w:pStyle w:val="Compact"/>
              <w:jc w:val="right"/>
            </w:pPr>
            <w:r>
              <w:t xml:space="preserve">7.7206458</w:t>
            </w:r>
          </w:p>
        </w:tc>
      </w:tr>
      <w:tr>
        <w:tc>
          <w:tcPr/>
          <w:p>
            <w:pPr>
              <w:pStyle w:val="Compact"/>
              <w:jc w:val="left"/>
            </w:pPr>
            <w:r>
              <w:t xml:space="preserve">percent_asian</w:t>
            </w:r>
          </w:p>
        </w:tc>
        <w:tc>
          <w:tcPr/>
          <w:p>
            <w:pPr>
              <w:pStyle w:val="Compact"/>
              <w:jc w:val="right"/>
            </w:pPr>
            <w:r>
              <w:t xml:space="preserve">0.0000000</w:t>
            </w:r>
          </w:p>
        </w:tc>
        <w:tc>
          <w:tcPr/>
          <w:p>
            <w:pPr>
              <w:pStyle w:val="Compact"/>
              <w:jc w:val="right"/>
            </w:pPr>
            <w:r>
              <w:t xml:space="preserve">1.4856343</w:t>
            </w:r>
          </w:p>
        </w:tc>
        <w:tc>
          <w:tcPr/>
          <w:p>
            <w:pPr>
              <w:pStyle w:val="Compact"/>
              <w:jc w:val="right"/>
            </w:pPr>
            <w:r>
              <w:t xml:space="preserve">0.6958972</w:t>
            </w:r>
          </w:p>
        </w:tc>
        <w:tc>
          <w:tcPr/>
          <w:p>
            <w:pPr>
              <w:pStyle w:val="Compact"/>
              <w:jc w:val="right"/>
            </w:pPr>
            <w:r>
              <w:t xml:space="preserve">44.265777</w:t>
            </w:r>
          </w:p>
        </w:tc>
        <w:tc>
          <w:tcPr/>
          <w:p>
            <w:pPr>
              <w:pStyle w:val="Compact"/>
              <w:jc w:val="right"/>
            </w:pPr>
            <w:r>
              <w:t xml:space="preserve">2.8592849</w:t>
            </w:r>
          </w:p>
        </w:tc>
      </w:tr>
      <w:tr>
        <w:tc>
          <w:tcPr/>
          <w:p>
            <w:pPr>
              <w:pStyle w:val="Compact"/>
              <w:jc w:val="left"/>
            </w:pPr>
            <w:r>
              <w:t xml:space="preserve">percent_native_hawaiian_other_pacific_islander</w:t>
            </w:r>
          </w:p>
        </w:tc>
        <w:tc>
          <w:tcPr/>
          <w:p>
            <w:pPr>
              <w:pStyle w:val="Compact"/>
              <w:jc w:val="right"/>
            </w:pPr>
            <w:r>
              <w:t xml:space="preserve">0.0000000</w:t>
            </w:r>
          </w:p>
        </w:tc>
        <w:tc>
          <w:tcPr/>
          <w:p>
            <w:pPr>
              <w:pStyle w:val="Compact"/>
              <w:jc w:val="right"/>
            </w:pPr>
            <w:r>
              <w:t xml:space="preserve">0.1349949</w:t>
            </w:r>
          </w:p>
        </w:tc>
        <w:tc>
          <w:tcPr/>
          <w:p>
            <w:pPr>
              <w:pStyle w:val="Compact"/>
              <w:jc w:val="right"/>
            </w:pPr>
            <w:r>
              <w:t xml:space="preserve">0.0573143</w:t>
            </w:r>
          </w:p>
        </w:tc>
        <w:tc>
          <w:tcPr/>
          <w:p>
            <w:pPr>
              <w:pStyle w:val="Compact"/>
              <w:jc w:val="right"/>
            </w:pPr>
            <w:r>
              <w:t xml:space="preserve">50.000000</w:t>
            </w:r>
          </w:p>
        </w:tc>
        <w:tc>
          <w:tcPr/>
          <w:p>
            <w:pPr>
              <w:pStyle w:val="Compact"/>
              <w:jc w:val="right"/>
            </w:pPr>
            <w:r>
              <w:t xml:space="preserve">0.9849561</w:t>
            </w:r>
          </w:p>
        </w:tc>
      </w:tr>
      <w:tr>
        <w:tc>
          <w:tcPr/>
          <w:p>
            <w:pPr>
              <w:pStyle w:val="Compact"/>
              <w:jc w:val="left"/>
            </w:pPr>
            <w:r>
              <w:t xml:space="preserve">percent_hispanic</w:t>
            </w:r>
          </w:p>
        </w:tc>
        <w:tc>
          <w:tcPr/>
          <w:p>
            <w:pPr>
              <w:pStyle w:val="Compact"/>
              <w:jc w:val="right"/>
            </w:pPr>
            <w:r>
              <w:t xml:space="preserve">0.5017485</w:t>
            </w:r>
          </w:p>
        </w:tc>
        <w:tc>
          <w:tcPr/>
          <w:p>
            <w:pPr>
              <w:pStyle w:val="Compact"/>
              <w:jc w:val="right"/>
            </w:pPr>
            <w:r>
              <w:t xml:space="preserve">9.2896091</w:t>
            </w:r>
          </w:p>
        </w:tc>
        <w:tc>
          <w:tcPr/>
          <w:p>
            <w:pPr>
              <w:pStyle w:val="Compact"/>
              <w:jc w:val="right"/>
            </w:pPr>
            <w:r>
              <w:t xml:space="preserve">4.0994985</w:t>
            </w:r>
          </w:p>
        </w:tc>
        <w:tc>
          <w:tcPr/>
          <w:p>
            <w:pPr>
              <w:pStyle w:val="Compact"/>
              <w:jc w:val="right"/>
            </w:pPr>
            <w:r>
              <w:t xml:space="preserve">96.254016</w:t>
            </w:r>
          </w:p>
        </w:tc>
        <w:tc>
          <w:tcPr/>
          <w:p>
            <w:pPr>
              <w:pStyle w:val="Compact"/>
              <w:jc w:val="right"/>
            </w:pPr>
            <w:r>
              <w:t xml:space="preserve">13.6617415</w:t>
            </w:r>
          </w:p>
        </w:tc>
      </w:tr>
      <w:tr>
        <w:tc>
          <w:tcPr/>
          <w:p>
            <w:pPr>
              <w:pStyle w:val="Compact"/>
              <w:jc w:val="left"/>
            </w:pPr>
            <w:r>
              <w:t xml:space="preserve">percent_non_hispanic_white</w:t>
            </w:r>
          </w:p>
        </w:tc>
        <w:tc>
          <w:tcPr/>
          <w:p>
            <w:pPr>
              <w:pStyle w:val="Compact"/>
              <w:jc w:val="right"/>
            </w:pPr>
            <w:r>
              <w:t xml:space="preserve">2.8118228</w:t>
            </w:r>
          </w:p>
        </w:tc>
        <w:tc>
          <w:tcPr/>
          <w:p>
            <w:pPr>
              <w:pStyle w:val="Compact"/>
              <w:jc w:val="right"/>
            </w:pPr>
            <w:r>
              <w:t xml:space="preserve">76.5842976</w:t>
            </w:r>
          </w:p>
        </w:tc>
        <w:tc>
          <w:tcPr/>
          <w:p>
            <w:pPr>
              <w:pStyle w:val="Compact"/>
              <w:jc w:val="right"/>
            </w:pPr>
            <w:r>
              <w:t xml:space="preserve">83.9893060</w:t>
            </w:r>
          </w:p>
        </w:tc>
        <w:tc>
          <w:tcPr/>
          <w:p>
            <w:pPr>
              <w:pStyle w:val="Compact"/>
              <w:jc w:val="right"/>
            </w:pPr>
            <w:r>
              <w:t xml:space="preserve">97.977244</w:t>
            </w:r>
          </w:p>
        </w:tc>
        <w:tc>
          <w:tcPr/>
          <w:p>
            <w:pPr>
              <w:pStyle w:val="Compact"/>
              <w:jc w:val="right"/>
            </w:pPr>
            <w:r>
              <w:t xml:space="preserve">20.0874461</w:t>
            </w:r>
          </w:p>
        </w:tc>
      </w:tr>
      <w:tr>
        <w:tc>
          <w:tcPr/>
          <w:p>
            <w:pPr>
              <w:pStyle w:val="Compact"/>
              <w:jc w:val="left"/>
            </w:pPr>
            <w:r>
              <w:t xml:space="preserve">percent_uninsured_51</w:t>
            </w:r>
          </w:p>
        </w:tc>
        <w:tc>
          <w:tcPr/>
          <w:p>
            <w:pPr>
              <w:pStyle w:val="Compact"/>
              <w:jc w:val="right"/>
            </w:pPr>
            <w:r>
              <w:t xml:space="preserve">2.6159435</w:t>
            </w:r>
          </w:p>
        </w:tc>
        <w:tc>
          <w:tcPr/>
          <w:p>
            <w:pPr>
              <w:pStyle w:val="Compact"/>
              <w:jc w:val="right"/>
            </w:pPr>
            <w:r>
              <w:t xml:space="preserve">14.2886153</w:t>
            </w:r>
          </w:p>
        </w:tc>
        <w:tc>
          <w:tcPr/>
          <w:p>
            <w:pPr>
              <w:pStyle w:val="Compact"/>
              <w:jc w:val="right"/>
            </w:pPr>
            <w:r>
              <w:t xml:space="preserve">13.5673012</w:t>
            </w:r>
          </w:p>
        </w:tc>
        <w:tc>
          <w:tcPr/>
          <w:p>
            <w:pPr>
              <w:pStyle w:val="Compact"/>
              <w:jc w:val="right"/>
            </w:pPr>
            <w:r>
              <w:t xml:space="preserve">43.395037</w:t>
            </w:r>
          </w:p>
        </w:tc>
        <w:tc>
          <w:tcPr/>
          <w:p>
            <w:pPr>
              <w:pStyle w:val="Compact"/>
              <w:jc w:val="right"/>
            </w:pPr>
            <w:r>
              <w:t xml:space="preserve">6.2494419</w:t>
            </w:r>
          </w:p>
        </w:tc>
      </w:tr>
      <w:tr>
        <w:tc>
          <w:tcPr/>
          <w:p>
            <w:pPr>
              <w:pStyle w:val="Compact"/>
              <w:jc w:val="left"/>
            </w:pPr>
            <w:r>
              <w:t xml:space="preserve">costs</w:t>
            </w:r>
          </w:p>
        </w:tc>
        <w:tc>
          <w:tcPr/>
          <w:p>
            <w:pPr>
              <w:pStyle w:val="Compact"/>
              <w:jc w:val="right"/>
            </w:pPr>
            <w:r>
              <w:t xml:space="preserve">3895.8500000</w:t>
            </w:r>
          </w:p>
        </w:tc>
        <w:tc>
          <w:tcPr/>
          <w:p>
            <w:pPr>
              <w:pStyle w:val="Compact"/>
              <w:jc w:val="right"/>
            </w:pPr>
            <w:r>
              <w:t xml:space="preserve">9630.1742424</w:t>
            </w:r>
          </w:p>
        </w:tc>
        <w:tc>
          <w:tcPr/>
          <w:p>
            <w:pPr>
              <w:pStyle w:val="Compact"/>
              <w:jc w:val="right"/>
            </w:pPr>
            <w:r>
              <w:t xml:space="preserve">9602.5800000</w:t>
            </w:r>
          </w:p>
        </w:tc>
        <w:tc>
          <w:tcPr/>
          <w:p>
            <w:pPr>
              <w:pStyle w:val="Compact"/>
              <w:jc w:val="right"/>
            </w:pPr>
            <w:r>
              <w:t xml:space="preserve">19802.560000</w:t>
            </w:r>
          </w:p>
        </w:tc>
        <w:tc>
          <w:tcPr/>
          <w:p>
            <w:pPr>
              <w:pStyle w:val="Compact"/>
              <w:jc w:val="right"/>
            </w:pPr>
            <w:r>
              <w:t xml:space="preserve">1500.4725958</w:t>
            </w:r>
          </w:p>
        </w:tc>
      </w:tr>
      <w:tr>
        <w:tc>
          <w:tcPr/>
          <w:p>
            <w:pPr>
              <w:pStyle w:val="Compact"/>
              <w:jc w:val="left"/>
            </w:pPr>
            <w:r>
              <w:t xml:space="preserve">other_pcp_rate</w:t>
            </w:r>
          </w:p>
        </w:tc>
        <w:tc>
          <w:tcPr/>
          <w:p>
            <w:pPr>
              <w:pStyle w:val="Compact"/>
              <w:jc w:val="right"/>
            </w:pPr>
            <w:r>
              <w:t xml:space="preserve">0.0000000</w:t>
            </w:r>
          </w:p>
        </w:tc>
        <w:tc>
          <w:tcPr/>
          <w:p>
            <w:pPr>
              <w:pStyle w:val="Compact"/>
              <w:jc w:val="right"/>
            </w:pPr>
            <w:r>
              <w:t xml:space="preserve">71.3990510</w:t>
            </w:r>
          </w:p>
        </w:tc>
        <w:tc>
          <w:tcPr/>
          <w:p>
            <w:pPr>
              <w:pStyle w:val="Compact"/>
              <w:jc w:val="right"/>
            </w:pPr>
            <w:r>
              <w:t xml:space="preserve">61.7753300</w:t>
            </w:r>
          </w:p>
        </w:tc>
        <w:tc>
          <w:tcPr/>
          <w:p>
            <w:pPr>
              <w:pStyle w:val="Compact"/>
              <w:jc w:val="right"/>
            </w:pPr>
            <w:r>
              <w:t xml:space="preserve">1335.659380</w:t>
            </w:r>
          </w:p>
        </w:tc>
        <w:tc>
          <w:tcPr/>
          <w:p>
            <w:pPr>
              <w:pStyle w:val="Compact"/>
              <w:jc w:val="right"/>
            </w:pPr>
            <w:r>
              <w:t xml:space="preserve">53.5738398</w:t>
            </w:r>
          </w:p>
        </w:tc>
      </w:tr>
      <w:tr>
        <w:tc>
          <w:tcPr/>
          <w:p>
            <w:pPr>
              <w:pStyle w:val="Compact"/>
              <w:jc w:val="left"/>
            </w:pPr>
            <w:r>
              <w:t xml:space="preserve">income_ratio</w:t>
            </w:r>
          </w:p>
        </w:tc>
        <w:tc>
          <w:tcPr/>
          <w:p>
            <w:pPr>
              <w:pStyle w:val="Compact"/>
              <w:jc w:val="right"/>
            </w:pPr>
            <w:r>
              <w:t xml:space="preserve">2.6821628</w:t>
            </w:r>
          </w:p>
        </w:tc>
        <w:tc>
          <w:tcPr/>
          <w:p>
            <w:pPr>
              <w:pStyle w:val="Compact"/>
              <w:jc w:val="right"/>
            </w:pPr>
            <w:r>
              <w:t xml:space="preserve">4.5220269</w:t>
            </w:r>
          </w:p>
        </w:tc>
        <w:tc>
          <w:tcPr/>
          <w:p>
            <w:pPr>
              <w:pStyle w:val="Compact"/>
              <w:jc w:val="right"/>
            </w:pPr>
            <w:r>
              <w:t xml:space="preserve">4.4206096</w:t>
            </w:r>
          </w:p>
        </w:tc>
        <w:tc>
          <w:tcPr/>
          <w:p>
            <w:pPr>
              <w:pStyle w:val="Compact"/>
              <w:jc w:val="right"/>
            </w:pPr>
            <w:r>
              <w:t xml:space="preserve">8.928957</w:t>
            </w:r>
          </w:p>
        </w:tc>
        <w:tc>
          <w:tcPr/>
          <w:p>
            <w:pPr>
              <w:pStyle w:val="Compact"/>
              <w:jc w:val="right"/>
            </w:pPr>
            <w:r>
              <w:t xml:space="preserve">0.7354973</w:t>
            </w:r>
          </w:p>
        </w:tc>
      </w:tr>
      <w:tr>
        <w:tc>
          <w:tcPr/>
          <w:p>
            <w:pPr>
              <w:pStyle w:val="Compact"/>
              <w:jc w:val="left"/>
            </w:pPr>
            <w:r>
              <w:t xml:space="preserve">preventable_hosp_rate</w:t>
            </w:r>
          </w:p>
        </w:tc>
        <w:tc>
          <w:tcPr/>
          <w:p>
            <w:pPr>
              <w:pStyle w:val="Compact"/>
              <w:jc w:val="right"/>
            </w:pPr>
            <w:r>
              <w:t xml:space="preserve">12.5700000</w:t>
            </w:r>
          </w:p>
        </w:tc>
        <w:tc>
          <w:tcPr/>
          <w:p>
            <w:pPr>
              <w:pStyle w:val="Compact"/>
              <w:jc w:val="right"/>
            </w:pPr>
            <w:r>
              <w:t xml:space="preserve">59.8828510</w:t>
            </w:r>
          </w:p>
        </w:tc>
        <w:tc>
          <w:tcPr/>
          <w:p>
            <w:pPr>
              <w:pStyle w:val="Compact"/>
              <w:jc w:val="right"/>
            </w:pPr>
            <w:r>
              <w:t xml:space="preserve">55.9250000</w:t>
            </w:r>
          </w:p>
        </w:tc>
        <w:tc>
          <w:tcPr/>
          <w:p>
            <w:pPr>
              <w:pStyle w:val="Compact"/>
              <w:jc w:val="right"/>
            </w:pPr>
            <w:r>
              <w:t xml:space="preserve">210.320000</w:t>
            </w:r>
          </w:p>
        </w:tc>
        <w:tc>
          <w:tcPr/>
          <w:p>
            <w:pPr>
              <w:pStyle w:val="Compact"/>
              <w:jc w:val="right"/>
            </w:pPr>
            <w:r>
              <w:t xml:space="preserve">23.8996288</w:t>
            </w:r>
          </w:p>
        </w:tc>
      </w:tr>
      <w:tr>
        <w:tc>
          <w:tcPr/>
          <w:p>
            <w:pPr>
              <w:pStyle w:val="Compact"/>
              <w:jc w:val="left"/>
            </w:pPr>
            <w:r>
              <w:t xml:space="preserve">graduation_rate</w:t>
            </w:r>
          </w:p>
        </w:tc>
        <w:tc>
          <w:tcPr/>
          <w:p>
            <w:pPr>
              <w:pStyle w:val="Compact"/>
              <w:jc w:val="right"/>
            </w:pPr>
            <w:r>
              <w:t xml:space="preserve">30.1369863</w:t>
            </w:r>
          </w:p>
        </w:tc>
        <w:tc>
          <w:tcPr/>
          <w:p>
            <w:pPr>
              <w:pStyle w:val="Compact"/>
              <w:jc w:val="right"/>
            </w:pPr>
            <w:r>
              <w:t xml:space="preserve">86.1949627</w:t>
            </w:r>
          </w:p>
        </w:tc>
        <w:tc>
          <w:tcPr/>
          <w:p>
            <w:pPr>
              <w:pStyle w:val="Compact"/>
              <w:jc w:val="right"/>
            </w:pPr>
            <w:r>
              <w:t xml:space="preserve">87.5000000</w:t>
            </w:r>
          </w:p>
        </w:tc>
        <w:tc>
          <w:tcPr/>
          <w:p>
            <w:pPr>
              <w:pStyle w:val="Compact"/>
              <w:jc w:val="right"/>
            </w:pPr>
            <w:r>
              <w:t xml:space="preserve">100.000000</w:t>
            </w:r>
          </w:p>
        </w:tc>
        <w:tc>
          <w:tcPr/>
          <w:p>
            <w:pPr>
              <w:pStyle w:val="Compact"/>
              <w:jc w:val="right"/>
            </w:pPr>
            <w:r>
              <w:t xml:space="preserve">8.2227711</w:t>
            </w:r>
          </w:p>
        </w:tc>
      </w:tr>
      <w:tr>
        <w:tc>
          <w:tcPr/>
          <w:p>
            <w:pPr>
              <w:pStyle w:val="Compact"/>
              <w:jc w:val="left"/>
            </w:pPr>
            <w:r>
              <w:t xml:space="preserve">percent_some_college</w:t>
            </w:r>
          </w:p>
        </w:tc>
        <w:tc>
          <w:tcPr/>
          <w:p>
            <w:pPr>
              <w:pStyle w:val="Compact"/>
              <w:jc w:val="right"/>
            </w:pPr>
            <w:r>
              <w:t xml:space="preserve">15.5103402</w:t>
            </w:r>
          </w:p>
        </w:tc>
        <w:tc>
          <w:tcPr/>
          <w:p>
            <w:pPr>
              <w:pStyle w:val="Compact"/>
              <w:jc w:val="right"/>
            </w:pPr>
            <w:r>
              <w:t xml:space="preserve">57.2305738</w:t>
            </w:r>
          </w:p>
        </w:tc>
        <w:tc>
          <w:tcPr/>
          <w:p>
            <w:pPr>
              <w:pStyle w:val="Compact"/>
              <w:jc w:val="right"/>
            </w:pPr>
            <w:r>
              <w:t xml:space="preserve">57.0647221</w:t>
            </w:r>
          </w:p>
        </w:tc>
        <w:tc>
          <w:tcPr/>
          <w:p>
            <w:pPr>
              <w:pStyle w:val="Compact"/>
              <w:jc w:val="right"/>
            </w:pPr>
            <w:r>
              <w:t xml:space="preserve">94.047619</w:t>
            </w:r>
          </w:p>
        </w:tc>
        <w:tc>
          <w:tcPr/>
          <w:p>
            <w:pPr>
              <w:pStyle w:val="Compact"/>
              <w:jc w:val="right"/>
            </w:pPr>
            <w:r>
              <w:t xml:space="preserve">11.5503299</w:t>
            </w:r>
          </w:p>
        </w:tc>
      </w:tr>
      <w:tr>
        <w:tc>
          <w:tcPr/>
          <w:p>
            <w:pPr>
              <w:pStyle w:val="Compact"/>
              <w:jc w:val="left"/>
            </w:pPr>
            <w:r>
              <w:t xml:space="preserve">percent_single_parent_households</w:t>
            </w:r>
          </w:p>
        </w:tc>
        <w:tc>
          <w:tcPr/>
          <w:p>
            <w:pPr>
              <w:pStyle w:val="Compact"/>
              <w:jc w:val="right"/>
            </w:pPr>
            <w:r>
              <w:t xml:space="preserve">0.0000000</w:t>
            </w:r>
          </w:p>
        </w:tc>
        <w:tc>
          <w:tcPr/>
          <w:p>
            <w:pPr>
              <w:pStyle w:val="Compact"/>
              <w:jc w:val="right"/>
            </w:pPr>
            <w:r>
              <w:t xml:space="preserve">32.6598644</w:t>
            </w:r>
          </w:p>
        </w:tc>
        <w:tc>
          <w:tcPr/>
          <w:p>
            <w:pPr>
              <w:pStyle w:val="Compact"/>
              <w:jc w:val="right"/>
            </w:pPr>
            <w:r>
              <w:t xml:space="preserve">31.8126223</w:t>
            </w:r>
          </w:p>
        </w:tc>
        <w:tc>
          <w:tcPr/>
          <w:p>
            <w:pPr>
              <w:pStyle w:val="Compact"/>
              <w:jc w:val="right"/>
            </w:pPr>
            <w:r>
              <w:t xml:space="preserve">100.000000</w:t>
            </w:r>
          </w:p>
        </w:tc>
        <w:tc>
          <w:tcPr/>
          <w:p>
            <w:pPr>
              <w:pStyle w:val="Compact"/>
              <w:jc w:val="right"/>
            </w:pPr>
            <w:r>
              <w:t xml:space="preserve">10.4310825</w:t>
            </w:r>
          </w:p>
        </w:tc>
      </w:tr>
      <w:tr>
        <w:tc>
          <w:tcPr/>
          <w:p>
            <w:pPr>
              <w:pStyle w:val="Compact"/>
              <w:jc w:val="left"/>
            </w:pPr>
            <w:r>
              <w:t xml:space="preserve">percent_children_in_poverty</w:t>
            </w:r>
          </w:p>
        </w:tc>
        <w:tc>
          <w:tcPr/>
          <w:p>
            <w:pPr>
              <w:pStyle w:val="Compact"/>
              <w:jc w:val="right"/>
            </w:pPr>
            <w:r>
              <w:t xml:space="preserve">2.9000000</w:t>
            </w:r>
          </w:p>
        </w:tc>
        <w:tc>
          <w:tcPr/>
          <w:p>
            <w:pPr>
              <w:pStyle w:val="Compact"/>
              <w:jc w:val="right"/>
            </w:pPr>
            <w:r>
              <w:t xml:space="preserve">22.3723018</w:t>
            </w:r>
          </w:p>
        </w:tc>
        <w:tc>
          <w:tcPr/>
          <w:p>
            <w:pPr>
              <w:pStyle w:val="Compact"/>
              <w:jc w:val="right"/>
            </w:pPr>
            <w:r>
              <w:t xml:space="preserve">21.3000000</w:t>
            </w:r>
          </w:p>
        </w:tc>
        <w:tc>
          <w:tcPr/>
          <w:p>
            <w:pPr>
              <w:pStyle w:val="Compact"/>
              <w:jc w:val="right"/>
            </w:pPr>
            <w:r>
              <w:t xml:space="preserve">66.300000</w:t>
            </w:r>
          </w:p>
        </w:tc>
        <w:tc>
          <w:tcPr/>
          <w:p>
            <w:pPr>
              <w:pStyle w:val="Compact"/>
              <w:jc w:val="right"/>
            </w:pPr>
            <w:r>
              <w:t xml:space="preserve">9.2092091</w:t>
            </w:r>
          </w:p>
        </w:tc>
      </w:tr>
      <w:tr>
        <w:tc>
          <w:tcPr/>
          <w:p>
            <w:pPr>
              <w:pStyle w:val="Compact"/>
              <w:jc w:val="left"/>
            </w:pPr>
            <w:r>
              <w:t xml:space="preserve">percent_obese</w:t>
            </w:r>
          </w:p>
        </w:tc>
        <w:tc>
          <w:tcPr/>
          <w:p>
            <w:pPr>
              <w:pStyle w:val="Compact"/>
              <w:jc w:val="right"/>
            </w:pPr>
            <w:r>
              <w:t xml:space="preserve">12.8000000</w:t>
            </w:r>
          </w:p>
        </w:tc>
        <w:tc>
          <w:tcPr/>
          <w:p>
            <w:pPr>
              <w:pStyle w:val="Compact"/>
              <w:jc w:val="right"/>
            </w:pPr>
            <w:r>
              <w:t xml:space="preserve">31.4736792</w:t>
            </w:r>
          </w:p>
        </w:tc>
        <w:tc>
          <w:tcPr/>
          <w:p>
            <w:pPr>
              <w:pStyle w:val="Compact"/>
              <w:jc w:val="right"/>
            </w:pPr>
            <w:r>
              <w:t xml:space="preserve">31.8000000</w:t>
            </w:r>
          </w:p>
        </w:tc>
        <w:tc>
          <w:tcPr/>
          <w:p>
            <w:pPr>
              <w:pStyle w:val="Compact"/>
              <w:jc w:val="right"/>
            </w:pPr>
            <w:r>
              <w:t xml:space="preserve">47.800000</w:t>
            </w:r>
          </w:p>
        </w:tc>
        <w:tc>
          <w:tcPr/>
          <w:p>
            <w:pPr>
              <w:pStyle w:val="Compact"/>
              <w:jc w:val="right"/>
            </w:pPr>
            <w:r>
              <w:t xml:space="preserve">4.5141390</w:t>
            </w:r>
          </w:p>
        </w:tc>
      </w:tr>
      <w:tr>
        <w:tc>
          <w:tcPr/>
          <w:p>
            <w:pPr>
              <w:pStyle w:val="Compact"/>
              <w:jc w:val="left"/>
            </w:pPr>
            <w:r>
              <w:t xml:space="preserve">percent_smokers</w:t>
            </w:r>
          </w:p>
        </w:tc>
        <w:tc>
          <w:tcPr/>
          <w:p>
            <w:pPr>
              <w:pStyle w:val="Compact"/>
              <w:jc w:val="right"/>
            </w:pPr>
            <w:r>
              <w:t xml:space="preserve">6.7354328</w:t>
            </w:r>
          </w:p>
        </w:tc>
        <w:tc>
          <w:tcPr/>
          <w:p>
            <w:pPr>
              <w:pStyle w:val="Compact"/>
              <w:jc w:val="right"/>
            </w:pPr>
            <w:r>
              <w:t xml:space="preserve">17.8726124</w:t>
            </w:r>
          </w:p>
        </w:tc>
        <w:tc>
          <w:tcPr/>
          <w:p>
            <w:pPr>
              <w:pStyle w:val="Compact"/>
              <w:jc w:val="right"/>
            </w:pPr>
            <w:r>
              <w:t xml:space="preserve">17.3208934</w:t>
            </w:r>
          </w:p>
        </w:tc>
        <w:tc>
          <w:tcPr/>
          <w:p>
            <w:pPr>
              <w:pStyle w:val="Compact"/>
              <w:jc w:val="right"/>
            </w:pPr>
            <w:r>
              <w:t xml:space="preserve">42.754056</w:t>
            </w:r>
          </w:p>
        </w:tc>
        <w:tc>
          <w:tcPr/>
          <w:p>
            <w:pPr>
              <w:pStyle w:val="Compact"/>
              <w:jc w:val="right"/>
            </w:pPr>
            <w:r>
              <w:t xml:space="preserve">3.6600786</w:t>
            </w:r>
          </w:p>
        </w:tc>
      </w:tr>
    </w:tbl>
    <w:bookmarkStart w:id="26" w:name="exploratory-analysis"/>
    <w:p>
      <w:pPr>
        <w:pStyle w:val="Heading3"/>
      </w:pPr>
      <w:r>
        <w:t xml:space="preserve">Exploratory Analysis</w:t>
      </w:r>
    </w:p>
    <w:p>
      <w:pPr>
        <w:pStyle w:val="FirstParagraph"/>
      </w:pPr>
      <w:r>
        <w:t xml:space="preserve">Majority of the variables depicting skewness and presence of outlier points in the data.</w:t>
      </w:r>
    </w:p>
    <w:p>
      <w:pPr>
        <w:pStyle w:val="BodyText"/>
      </w:pPr>
      <w:r>
        <w:drawing>
          <wp:inline>
            <wp:extent cx="5334000" cy="5334000"/>
            <wp:effectExtent b="0" l="0" r="0" t="0"/>
            <wp:docPr descr="" title="" id="24" name="Picture"/>
            <a:graphic>
              <a:graphicData uri="http://schemas.openxmlformats.org/drawingml/2006/picture">
                <pic:pic>
                  <pic:nvPicPr>
                    <pic:cNvPr descr="DATA5207_files/figure-docx/unnamed-chunk-6-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bookmarkEnd w:id="26"/>
    <w:bookmarkStart w:id="30" w:name="correlation-analysis"/>
    <w:p>
      <w:pPr>
        <w:pStyle w:val="Heading3"/>
      </w:pPr>
      <w:r>
        <w:t xml:space="preserve">Correlation Analysis</w:t>
      </w:r>
    </w:p>
    <w:p>
      <w:pPr>
        <w:pStyle w:val="FirstParagraph"/>
      </w:pPr>
      <w:r>
        <w:drawing>
          <wp:inline>
            <wp:extent cx="5334000" cy="5334000"/>
            <wp:effectExtent b="0" l="0" r="0" t="0"/>
            <wp:docPr descr="" title="" id="28" name="Picture"/>
            <a:graphic>
              <a:graphicData uri="http://schemas.openxmlformats.org/drawingml/2006/picture">
                <pic:pic>
                  <pic:nvPicPr>
                    <pic:cNvPr descr="DATA5207_files/figure-docx/unnamed-chunk-7-1.pn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r>
        <w:br w:type="page"/>
      </w:r>
    </w:p>
    <w:bookmarkEnd w:id="30"/>
    <w:bookmarkEnd w:id="31"/>
    <w:bookmarkStart w:id="32" w:name="model-fitting"/>
    <w:p>
      <w:pPr>
        <w:pStyle w:val="Heading2"/>
      </w:pPr>
      <w:r>
        <w:t xml:space="preserve">Model Fitting</w:t>
      </w:r>
    </w:p>
    <w:p>
      <w:pPr>
        <w:pStyle w:val="TableCaption"/>
      </w:pPr>
      <w:r>
        <w:t xml:space="preserve">Model Coefficients</w:t>
      </w:r>
    </w:p>
    <w:tbl>
      <w:tblPr>
        <w:tblStyle w:val="Table"/>
        <w:tblW w:type="pct" w:w="5000"/>
        <w:tblLayout w:type="fixed"/>
        <w:tblLook w:firstRow="1" w:lastRow="0" w:firstColumn="0" w:lastColumn="0" w:noHBand="0" w:noVBand="0" w:val="0020"/>
        <w:tblCaption w:val="Model Coefficients"/>
      </w:tblPr>
      <w:tblGrid>
        <w:gridCol w:w="5394"/>
        <w:gridCol w:w="1377"/>
        <w:gridCol w:w="1147"/>
      </w:tblGrid>
      <w:tr>
        <w:trPr>
          <w:tblHeader w:val="on"/>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583.3315756</w:t>
            </w:r>
          </w:p>
        </w:tc>
        <w:tc>
          <w:tcPr/>
          <w:p>
            <w:pPr>
              <w:pStyle w:val="Compact"/>
              <w:jc w:val="right"/>
            </w:pPr>
            <w:r>
              <w:t xml:space="preserve">0.0000047</w:t>
            </w:r>
          </w:p>
        </w:tc>
      </w:tr>
      <w:tr>
        <w:tc>
          <w:tcPr/>
          <w:p>
            <w:pPr>
              <w:pStyle w:val="Compact"/>
              <w:jc w:val="left"/>
            </w:pPr>
            <w:r>
              <w:t xml:space="preserve">household_income</w:t>
            </w:r>
          </w:p>
        </w:tc>
        <w:tc>
          <w:tcPr/>
          <w:p>
            <w:pPr>
              <w:pStyle w:val="Compact"/>
              <w:jc w:val="right"/>
            </w:pPr>
            <w:r>
              <w:t xml:space="preserve">-0.0005119</w:t>
            </w:r>
          </w:p>
        </w:tc>
        <w:tc>
          <w:tcPr/>
          <w:p>
            <w:pPr>
              <w:pStyle w:val="Compact"/>
              <w:jc w:val="right"/>
            </w:pPr>
            <w:r>
              <w:t xml:space="preserve">0.0056913</w:t>
            </w:r>
          </w:p>
        </w:tc>
      </w:tr>
      <w:tr>
        <w:tc>
          <w:tcPr/>
          <w:p>
            <w:pPr>
              <w:pStyle w:val="Compact"/>
              <w:jc w:val="left"/>
            </w:pPr>
            <w:r>
              <w:t xml:space="preserve">population</w:t>
            </w:r>
          </w:p>
        </w:tc>
        <w:tc>
          <w:tcPr/>
          <w:p>
            <w:pPr>
              <w:pStyle w:val="Compact"/>
              <w:jc w:val="right"/>
            </w:pPr>
            <w:r>
              <w:t xml:space="preserve">-0.0000075</w:t>
            </w:r>
          </w:p>
        </w:tc>
        <w:tc>
          <w:tcPr/>
          <w:p>
            <w:pPr>
              <w:pStyle w:val="Compact"/>
              <w:jc w:val="right"/>
            </w:pPr>
            <w:r>
              <w:t xml:space="preserve">0.0368519</w:t>
            </w:r>
          </w:p>
        </w:tc>
      </w:tr>
      <w:tr>
        <w:tc>
          <w:tcPr/>
          <w:p>
            <w:pPr>
              <w:pStyle w:val="Compact"/>
              <w:jc w:val="left"/>
            </w:pPr>
            <w:r>
              <w:t xml:space="preserve">percent_african_american</w:t>
            </w:r>
          </w:p>
        </w:tc>
        <w:tc>
          <w:tcPr/>
          <w:p>
            <w:pPr>
              <w:pStyle w:val="Compact"/>
              <w:jc w:val="right"/>
            </w:pPr>
            <w:r>
              <w:t xml:space="preserve">-5.5871238</w:t>
            </w:r>
          </w:p>
        </w:tc>
        <w:tc>
          <w:tcPr/>
          <w:p>
            <w:pPr>
              <w:pStyle w:val="Compact"/>
              <w:jc w:val="right"/>
            </w:pPr>
            <w:r>
              <w:t xml:space="preserve">0.0000045</w:t>
            </w:r>
          </w:p>
        </w:tc>
      </w:tr>
      <w:tr>
        <w:tc>
          <w:tcPr/>
          <w:p>
            <w:pPr>
              <w:pStyle w:val="Compact"/>
              <w:jc w:val="left"/>
            </w:pPr>
            <w:r>
              <w:t xml:space="preserve">percent_american_indian_alaskan_native</w:t>
            </w:r>
          </w:p>
        </w:tc>
        <w:tc>
          <w:tcPr/>
          <w:p>
            <w:pPr>
              <w:pStyle w:val="Compact"/>
              <w:jc w:val="right"/>
            </w:pPr>
            <w:r>
              <w:t xml:space="preserve">-4.5741249</w:t>
            </w:r>
          </w:p>
        </w:tc>
        <w:tc>
          <w:tcPr/>
          <w:p>
            <w:pPr>
              <w:pStyle w:val="Compact"/>
              <w:jc w:val="right"/>
            </w:pPr>
            <w:r>
              <w:t xml:space="preserve">0.0003098</w:t>
            </w:r>
          </w:p>
        </w:tc>
      </w:tr>
      <w:tr>
        <w:tc>
          <w:tcPr/>
          <w:p>
            <w:pPr>
              <w:pStyle w:val="Compact"/>
              <w:jc w:val="left"/>
            </w:pPr>
            <w:r>
              <w:t xml:space="preserve">percent_asian</w:t>
            </w:r>
          </w:p>
        </w:tc>
        <w:tc>
          <w:tcPr/>
          <w:p>
            <w:pPr>
              <w:pStyle w:val="Compact"/>
              <w:jc w:val="right"/>
            </w:pPr>
            <w:r>
              <w:t xml:space="preserve">-6.7136490</w:t>
            </w:r>
          </w:p>
        </w:tc>
        <w:tc>
          <w:tcPr/>
          <w:p>
            <w:pPr>
              <w:pStyle w:val="Compact"/>
              <w:jc w:val="right"/>
            </w:pPr>
            <w:r>
              <w:t xml:space="preserve">0.0000029</w:t>
            </w:r>
          </w:p>
        </w:tc>
      </w:tr>
      <w:tr>
        <w:tc>
          <w:tcPr/>
          <w:p>
            <w:pPr>
              <w:pStyle w:val="Compact"/>
              <w:jc w:val="left"/>
            </w:pPr>
            <w:r>
              <w:t xml:space="preserve">percent_native_hawaiian_other_pacific_islander</w:t>
            </w:r>
          </w:p>
        </w:tc>
        <w:tc>
          <w:tcPr/>
          <w:p>
            <w:pPr>
              <w:pStyle w:val="Compact"/>
              <w:jc w:val="right"/>
            </w:pPr>
            <w:r>
              <w:t xml:space="preserve">-4.5601726</w:t>
            </w:r>
          </w:p>
        </w:tc>
        <w:tc>
          <w:tcPr/>
          <w:p>
            <w:pPr>
              <w:pStyle w:val="Compact"/>
              <w:jc w:val="right"/>
            </w:pPr>
            <w:r>
              <w:t xml:space="preserve">0.2536166</w:t>
            </w:r>
          </w:p>
        </w:tc>
      </w:tr>
      <w:tr>
        <w:tc>
          <w:tcPr/>
          <w:p>
            <w:pPr>
              <w:pStyle w:val="Compact"/>
              <w:jc w:val="left"/>
            </w:pPr>
            <w:r>
              <w:t xml:space="preserve">percent_hispanic</w:t>
            </w:r>
          </w:p>
        </w:tc>
        <w:tc>
          <w:tcPr/>
          <w:p>
            <w:pPr>
              <w:pStyle w:val="Compact"/>
              <w:jc w:val="right"/>
            </w:pPr>
            <w:r>
              <w:t xml:space="preserve">-6.2382143</w:t>
            </w:r>
          </w:p>
        </w:tc>
        <w:tc>
          <w:tcPr/>
          <w:p>
            <w:pPr>
              <w:pStyle w:val="Compact"/>
              <w:jc w:val="right"/>
            </w:pPr>
            <w:r>
              <w:t xml:space="preserve">0.0000001</w:t>
            </w:r>
          </w:p>
        </w:tc>
      </w:tr>
      <w:tr>
        <w:tc>
          <w:tcPr/>
          <w:p>
            <w:pPr>
              <w:pStyle w:val="Compact"/>
              <w:jc w:val="left"/>
            </w:pPr>
            <w:r>
              <w:t xml:space="preserve">percent_non_hispanic_white</w:t>
            </w:r>
          </w:p>
        </w:tc>
        <w:tc>
          <w:tcPr/>
          <w:p>
            <w:pPr>
              <w:pStyle w:val="Compact"/>
              <w:jc w:val="right"/>
            </w:pPr>
            <w:r>
              <w:t xml:space="preserve">-5.2450414</w:t>
            </w:r>
          </w:p>
        </w:tc>
        <w:tc>
          <w:tcPr/>
          <w:p>
            <w:pPr>
              <w:pStyle w:val="Compact"/>
              <w:jc w:val="right"/>
            </w:pPr>
            <w:r>
              <w:t xml:space="preserve">0.0000184</w:t>
            </w:r>
          </w:p>
        </w:tc>
      </w:tr>
      <w:tr>
        <w:tc>
          <w:tcPr/>
          <w:p>
            <w:pPr>
              <w:pStyle w:val="Compact"/>
              <w:jc w:val="left"/>
            </w:pPr>
            <w:r>
              <w:t xml:space="preserve">percent_uninsured_51</w:t>
            </w:r>
          </w:p>
        </w:tc>
        <w:tc>
          <w:tcPr/>
          <w:p>
            <w:pPr>
              <w:pStyle w:val="Compact"/>
              <w:jc w:val="right"/>
            </w:pPr>
            <w:r>
              <w:t xml:space="preserve">1.3832088</w:t>
            </w:r>
          </w:p>
        </w:tc>
        <w:tc>
          <w:tcPr/>
          <w:p>
            <w:pPr>
              <w:pStyle w:val="Compact"/>
              <w:jc w:val="right"/>
            </w:pPr>
            <w:r>
              <w:t xml:space="preserve">0.0000005</w:t>
            </w:r>
          </w:p>
        </w:tc>
      </w:tr>
      <w:tr>
        <w:tc>
          <w:tcPr/>
          <w:p>
            <w:pPr>
              <w:pStyle w:val="Compact"/>
              <w:jc w:val="left"/>
            </w:pPr>
            <w:r>
              <w:t xml:space="preserve">costs</w:t>
            </w:r>
          </w:p>
        </w:tc>
        <w:tc>
          <w:tcPr/>
          <w:p>
            <w:pPr>
              <w:pStyle w:val="Compact"/>
              <w:jc w:val="right"/>
            </w:pPr>
            <w:r>
              <w:t xml:space="preserve">0.0112580</w:t>
            </w:r>
          </w:p>
        </w:tc>
        <w:tc>
          <w:tcPr/>
          <w:p>
            <w:pPr>
              <w:pStyle w:val="Compact"/>
              <w:jc w:val="right"/>
            </w:pPr>
            <w:r>
              <w:t xml:space="preserve">0.0000000</w:t>
            </w:r>
          </w:p>
        </w:tc>
      </w:tr>
      <w:tr>
        <w:tc>
          <w:tcPr/>
          <w:p>
            <w:pPr>
              <w:pStyle w:val="Compact"/>
              <w:jc w:val="left"/>
            </w:pPr>
            <w:r>
              <w:t xml:space="preserve">other_pcp_rate</w:t>
            </w:r>
          </w:p>
        </w:tc>
        <w:tc>
          <w:tcPr/>
          <w:p>
            <w:pPr>
              <w:pStyle w:val="Compact"/>
              <w:jc w:val="right"/>
            </w:pPr>
            <w:r>
              <w:t xml:space="preserve">0.0960971</w:t>
            </w:r>
          </w:p>
        </w:tc>
        <w:tc>
          <w:tcPr/>
          <w:p>
            <w:pPr>
              <w:pStyle w:val="Compact"/>
              <w:jc w:val="right"/>
            </w:pPr>
            <w:r>
              <w:t xml:space="preserve">0.0000197</w:t>
            </w:r>
          </w:p>
        </w:tc>
      </w:tr>
      <w:tr>
        <w:tc>
          <w:tcPr/>
          <w:p>
            <w:pPr>
              <w:pStyle w:val="Compact"/>
              <w:jc w:val="left"/>
            </w:pPr>
            <w:r>
              <w:t xml:space="preserve">income_ratio</w:t>
            </w:r>
          </w:p>
        </w:tc>
        <w:tc>
          <w:tcPr/>
          <w:p>
            <w:pPr>
              <w:pStyle w:val="Compact"/>
              <w:jc w:val="right"/>
            </w:pPr>
            <w:r>
              <w:t xml:space="preserve">5.5144600</w:t>
            </w:r>
          </w:p>
        </w:tc>
        <w:tc>
          <w:tcPr/>
          <w:p>
            <w:pPr>
              <w:pStyle w:val="Compact"/>
              <w:jc w:val="right"/>
            </w:pPr>
            <w:r>
              <w:t xml:space="preserve">0.0074830</w:t>
            </w:r>
          </w:p>
        </w:tc>
      </w:tr>
      <w:tr>
        <w:tc>
          <w:tcPr/>
          <w:p>
            <w:pPr>
              <w:pStyle w:val="Compact"/>
              <w:jc w:val="left"/>
            </w:pPr>
            <w:r>
              <w:t xml:space="preserve">preventable_hosp_rate</w:t>
            </w:r>
          </w:p>
        </w:tc>
        <w:tc>
          <w:tcPr/>
          <w:p>
            <w:pPr>
              <w:pStyle w:val="Compact"/>
              <w:jc w:val="right"/>
            </w:pPr>
            <w:r>
              <w:t xml:space="preserve">0.4208420</w:t>
            </w:r>
          </w:p>
        </w:tc>
        <w:tc>
          <w:tcPr/>
          <w:p>
            <w:pPr>
              <w:pStyle w:val="Compact"/>
              <w:jc w:val="right"/>
            </w:pPr>
            <w:r>
              <w:t xml:space="preserve">0.0000000</w:t>
            </w:r>
          </w:p>
        </w:tc>
      </w:tr>
      <w:tr>
        <w:tc>
          <w:tcPr/>
          <w:p>
            <w:pPr>
              <w:pStyle w:val="Compact"/>
              <w:jc w:val="left"/>
            </w:pPr>
            <w:r>
              <w:t xml:space="preserve">graduation_rate</w:t>
            </w:r>
          </w:p>
        </w:tc>
        <w:tc>
          <w:tcPr/>
          <w:p>
            <w:pPr>
              <w:pStyle w:val="Compact"/>
              <w:jc w:val="right"/>
            </w:pPr>
            <w:r>
              <w:t xml:space="preserve">-0.0875965</w:t>
            </w:r>
          </w:p>
        </w:tc>
        <w:tc>
          <w:tcPr/>
          <w:p>
            <w:pPr>
              <w:pStyle w:val="Compact"/>
              <w:jc w:val="right"/>
            </w:pPr>
            <w:r>
              <w:t xml:space="preserve">0.5631576</w:t>
            </w:r>
          </w:p>
        </w:tc>
      </w:tr>
      <w:tr>
        <w:tc>
          <w:tcPr/>
          <w:p>
            <w:pPr>
              <w:pStyle w:val="Compact"/>
              <w:jc w:val="left"/>
            </w:pPr>
            <w:r>
              <w:t xml:space="preserve">percent_some_college</w:t>
            </w:r>
          </w:p>
        </w:tc>
        <w:tc>
          <w:tcPr/>
          <w:p>
            <w:pPr>
              <w:pStyle w:val="Compact"/>
              <w:jc w:val="right"/>
            </w:pPr>
            <w:r>
              <w:t xml:space="preserve">-0.9917633</w:t>
            </w:r>
          </w:p>
        </w:tc>
        <w:tc>
          <w:tcPr/>
          <w:p>
            <w:pPr>
              <w:pStyle w:val="Compact"/>
              <w:jc w:val="right"/>
            </w:pPr>
            <w:r>
              <w:t xml:space="preserve">0.0000000</w:t>
            </w:r>
          </w:p>
        </w:tc>
      </w:tr>
      <w:tr>
        <w:tc>
          <w:tcPr/>
          <w:p>
            <w:pPr>
              <w:pStyle w:val="Compact"/>
              <w:jc w:val="left"/>
            </w:pPr>
            <w:r>
              <w:t xml:space="preserve">percent_single_parent_households</w:t>
            </w:r>
          </w:p>
        </w:tc>
        <w:tc>
          <w:tcPr/>
          <w:p>
            <w:pPr>
              <w:pStyle w:val="Compact"/>
              <w:jc w:val="right"/>
            </w:pPr>
            <w:r>
              <w:t xml:space="preserve">1.2294889</w:t>
            </w:r>
          </w:p>
        </w:tc>
        <w:tc>
          <w:tcPr/>
          <w:p>
            <w:pPr>
              <w:pStyle w:val="Compact"/>
              <w:jc w:val="right"/>
            </w:pPr>
            <w:r>
              <w:t xml:space="preserve">0.0000000</w:t>
            </w:r>
          </w:p>
        </w:tc>
      </w:tr>
      <w:tr>
        <w:tc>
          <w:tcPr/>
          <w:p>
            <w:pPr>
              <w:pStyle w:val="Compact"/>
              <w:jc w:val="left"/>
            </w:pPr>
            <w:r>
              <w:t xml:space="preserve">percent_children_in_poverty</w:t>
            </w:r>
          </w:p>
        </w:tc>
        <w:tc>
          <w:tcPr/>
          <w:p>
            <w:pPr>
              <w:pStyle w:val="Compact"/>
              <w:jc w:val="right"/>
            </w:pPr>
            <w:r>
              <w:t xml:space="preserve">3.4167606</w:t>
            </w:r>
          </w:p>
        </w:tc>
        <w:tc>
          <w:tcPr/>
          <w:p>
            <w:pPr>
              <w:pStyle w:val="Compact"/>
              <w:jc w:val="right"/>
            </w:pPr>
            <w:r>
              <w:t xml:space="preserve">0.0000000</w:t>
            </w:r>
          </w:p>
        </w:tc>
      </w:tr>
      <w:tr>
        <w:tc>
          <w:tcPr/>
          <w:p>
            <w:pPr>
              <w:pStyle w:val="Compact"/>
              <w:jc w:val="left"/>
            </w:pPr>
            <w:r>
              <w:t xml:space="preserve">percent_obese</w:t>
            </w:r>
          </w:p>
        </w:tc>
        <w:tc>
          <w:tcPr/>
          <w:p>
            <w:pPr>
              <w:pStyle w:val="Compact"/>
              <w:jc w:val="right"/>
            </w:pPr>
            <w:r>
              <w:t xml:space="preserve">2.2109633</w:t>
            </w:r>
          </w:p>
        </w:tc>
        <w:tc>
          <w:tcPr/>
          <w:p>
            <w:pPr>
              <w:pStyle w:val="Compact"/>
              <w:jc w:val="right"/>
            </w:pPr>
            <w:r>
              <w:t xml:space="preserve">0.0000000</w:t>
            </w:r>
          </w:p>
        </w:tc>
      </w:tr>
      <w:tr>
        <w:tc>
          <w:tcPr/>
          <w:p>
            <w:pPr>
              <w:pStyle w:val="Compact"/>
              <w:jc w:val="left"/>
            </w:pPr>
            <w:r>
              <w:t xml:space="preserve">percent_smokers</w:t>
            </w:r>
          </w:p>
        </w:tc>
        <w:tc>
          <w:tcPr/>
          <w:p>
            <w:pPr>
              <w:pStyle w:val="Compact"/>
              <w:jc w:val="right"/>
            </w:pPr>
            <w:r>
              <w:t xml:space="preserve">3.7975199</w:t>
            </w:r>
          </w:p>
        </w:tc>
        <w:tc>
          <w:tcPr/>
          <w:p>
            <w:pPr>
              <w:pStyle w:val="Compact"/>
              <w:jc w:val="right"/>
            </w:pPr>
            <w:r>
              <w:t xml:space="preserve">0.0000000</w:t>
            </w:r>
          </w:p>
        </w:tc>
      </w:tr>
    </w:tbl>
    <w:p/>
    <w:p>
      <w:pPr>
        <w:pStyle w:val="TableCaption"/>
      </w:pPr>
      <w:r>
        <w:t xml:space="preserve">Model Summary</w:t>
      </w:r>
    </w:p>
    <w:tbl>
      <w:tblPr>
        <w:tblStyle w:val="Table"/>
        <w:tblW w:type="auto" w:w="0"/>
        <w:tblLook w:firstRow="1" w:lastRow="0" w:firstColumn="0" w:lastColumn="0" w:noHBand="0" w:noVBand="0" w:val="0020"/>
        <w:tblCaption w:val="Model Summary"/>
      </w:tblPr>
      <w:tblGrid>
        <w:gridCol w:w="1584"/>
        <w:gridCol w:w="1584"/>
        <w:gridCol w:w="1584"/>
        <w:gridCol w:w="1584"/>
        <w:gridCol w:w="1584"/>
      </w:tblGrid>
      <w:tr>
        <w:trPr>
          <w:tblHeader w:val="on"/>
        </w:trPr>
        <w:tc>
          <w:tcPr/>
          <w:p>
            <w:pPr>
              <w:pStyle w:val="Compact"/>
              <w:jc w:val="right"/>
            </w:pPr>
            <w:r>
              <w:t xml:space="preserve">r_squared</w:t>
            </w:r>
          </w:p>
        </w:tc>
        <w:tc>
          <w:tcPr/>
          <w:p>
            <w:pPr>
              <w:pStyle w:val="Compact"/>
              <w:jc w:val="right"/>
            </w:pPr>
            <w:r>
              <w:t xml:space="preserve">adj_r_squared</w:t>
            </w:r>
          </w:p>
        </w:tc>
        <w:tc>
          <w:tcPr/>
          <w:p>
            <w:pPr>
              <w:pStyle w:val="Compact"/>
              <w:jc w:val="right"/>
            </w:pPr>
            <w:r>
              <w:t xml:space="preserve">sigma</w:t>
            </w:r>
          </w:p>
        </w:tc>
        <w:tc>
          <w:tcPr/>
          <w:p>
            <w:pPr>
              <w:pStyle w:val="Compact"/>
              <w:jc w:val="right"/>
            </w:pPr>
            <w:r>
              <w:t xml:space="preserve">p_value</w:t>
            </w:r>
          </w:p>
        </w:tc>
        <w:tc>
          <w:tcPr/>
          <w:p>
            <w:pPr>
              <w:pStyle w:val="Compact"/>
              <w:jc w:val="right"/>
            </w:pPr>
            <w:r>
              <w:t xml:space="preserve">nobs</w:t>
            </w:r>
          </w:p>
        </w:tc>
      </w:tr>
      <w:tr>
        <w:tc>
          <w:tcPr/>
          <w:p>
            <w:pPr>
              <w:pStyle w:val="Compact"/>
              <w:jc w:val="right"/>
            </w:pPr>
            <w:r>
              <w:t xml:space="preserve">0.7447771</w:t>
            </w:r>
          </w:p>
        </w:tc>
        <w:tc>
          <w:tcPr/>
          <w:p>
            <w:pPr>
              <w:pStyle w:val="Compact"/>
              <w:jc w:val="right"/>
            </w:pPr>
            <w:r>
              <w:t xml:space="preserve">0.7429113</w:t>
            </w:r>
          </w:p>
        </w:tc>
        <w:tc>
          <w:tcPr/>
          <w:p>
            <w:pPr>
              <w:pStyle w:val="Compact"/>
              <w:jc w:val="right"/>
            </w:pPr>
            <w:r>
              <w:t xml:space="preserve">54.11637</w:t>
            </w:r>
          </w:p>
        </w:tc>
        <w:tc>
          <w:tcPr/>
          <w:p>
            <w:pPr>
              <w:pStyle w:val="Compact"/>
              <w:jc w:val="right"/>
            </w:pPr>
            <w:r>
              <w:t xml:space="preserve">0</w:t>
            </w:r>
          </w:p>
        </w:tc>
        <w:tc>
          <w:tcPr/>
          <w:p>
            <w:pPr>
              <w:pStyle w:val="Compact"/>
              <w:jc w:val="right"/>
            </w:pPr>
            <w:r>
              <w:t xml:space="preserve">2619</w:t>
            </w:r>
          </w:p>
        </w:tc>
      </w:tr>
    </w:tbl>
    <w:bookmarkEnd w:id="32"/>
    <w:bookmarkStart w:id="36" w:name="model-diagnostics"/>
    <w:p>
      <w:pPr>
        <w:pStyle w:val="Heading2"/>
      </w:pPr>
      <w:r>
        <w:t xml:space="preserve">Model Diagnostics</w:t>
      </w:r>
    </w:p>
    <w:p>
      <w:pPr>
        <w:pStyle w:val="FirstParagraph"/>
      </w:pPr>
      <w:r>
        <w:drawing>
          <wp:inline>
            <wp:extent cx="5334000" cy="5334000"/>
            <wp:effectExtent b="0" l="0" r="0" t="0"/>
            <wp:docPr descr="" title="" id="34" name="Picture"/>
            <a:graphic>
              <a:graphicData uri="http://schemas.openxmlformats.org/drawingml/2006/picture">
                <pic:pic>
                  <pic:nvPicPr>
                    <pic:cNvPr descr="DATA5207_files/figure-docx/unnamed-chunk-11-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There is no clear pattern in the</w:t>
      </w:r>
      <w:r>
        <w:t xml:space="preserve"> </w:t>
      </w:r>
      <w:r>
        <w:rPr>
          <w:rStyle w:val="VerbatimChar"/>
        </w:rPr>
        <w:t xml:space="preserve">Residuals vs Fitted</w:t>
      </w:r>
      <w:r>
        <w:t xml:space="preserve"> </w:t>
      </w:r>
      <w:r>
        <w:t xml:space="preserve">plot, leading to assumption that the relation between predictor and dependent variable is linear. The</w:t>
      </w:r>
      <w:r>
        <w:t xml:space="preserve"> </w:t>
      </w:r>
      <w:r>
        <w:rPr>
          <w:rStyle w:val="VerbatimChar"/>
        </w:rPr>
        <w:t xml:space="preserve">Normal Q-Q</w:t>
      </w:r>
      <w:r>
        <w:t xml:space="preserve"> </w:t>
      </w:r>
      <w:r>
        <w:t xml:space="preserve">depicts normal residual closely following the straight 4-degree dashed line. There is homogeneity of variance of the residuals based on the spread of data points in</w:t>
      </w:r>
      <w:r>
        <w:t xml:space="preserve"> </w:t>
      </w:r>
      <w:r>
        <w:rPr>
          <w:rStyle w:val="VerbatimChar"/>
        </w:rPr>
        <w:t xml:space="preserve">Scale-Location</w:t>
      </w:r>
      <w:r>
        <w:t xml:space="preserve"> </w:t>
      </w:r>
      <w:r>
        <w:t xml:space="preserve">plot. There are 3 influential observations, 87, 547 and 2291 on</w:t>
      </w:r>
      <w:r>
        <w:t xml:space="preserve"> </w:t>
      </w:r>
      <w:r>
        <w:rPr>
          <w:rStyle w:val="VerbatimChar"/>
        </w:rPr>
        <w:t xml:space="preserve">Residuals vs Leverage</w:t>
      </w:r>
      <w:r>
        <w:t xml:space="preserve">, which may have insignificant influence on the model (Anandhi &amp; Nathiya, 2023).</w:t>
      </w:r>
    </w:p>
    <w:bookmarkEnd w:id="36"/>
    <w:bookmarkEnd w:id="37"/>
    <w:bookmarkStart w:id="38" w:name="results"/>
    <w:p>
      <w:pPr>
        <w:pStyle w:val="Heading1"/>
      </w:pPr>
      <w:r>
        <w:t xml:space="preserve">Results</w:t>
      </w:r>
    </w:p>
    <w:p>
      <w:pPr>
        <w:pStyle w:val="FirstParagraph"/>
      </w:pPr>
      <w:r>
        <w:t xml:space="preserve">The observations with missing data points were automatically excluded from the model. The correlation plot depicts strong positive linear relationship between</w:t>
      </w:r>
      <w:r>
        <w:t xml:space="preserve"> </w:t>
      </w:r>
      <w:r>
        <w:rPr>
          <w:rStyle w:val="VerbatimChar"/>
        </w:rPr>
        <w:t xml:space="preserve">Premature age-adjusted mortality</w:t>
      </w:r>
      <w:r>
        <w:t xml:space="preserve"> </w:t>
      </w:r>
      <w:r>
        <w:t xml:space="preserve">and</w:t>
      </w:r>
      <w:r>
        <w:t xml:space="preserve"> </w:t>
      </w:r>
      <w:r>
        <w:rPr>
          <w:rStyle w:val="VerbatimChar"/>
        </w:rPr>
        <w:t xml:space="preserve">Percentage of children under age 18 in poverty</w:t>
      </w:r>
      <w:r>
        <w:t xml:space="preserve"> </w:t>
      </w:r>
      <w:r>
        <w:t xml:space="preserve">at 0.8, and negative with</w:t>
      </w:r>
      <w:r>
        <w:t xml:space="preserve"> </w:t>
      </w:r>
      <w:r>
        <w:rPr>
          <w:rStyle w:val="VerbatimChar"/>
        </w:rPr>
        <w:t xml:space="preserve">Median household income</w:t>
      </w:r>
      <w:r>
        <w:t xml:space="preserve"> </w:t>
      </w:r>
      <w:r>
        <w:t xml:space="preserve">at -0.7.</w:t>
      </w:r>
    </w:p>
    <w:p>
      <w:pPr>
        <w:pStyle w:val="BodyText"/>
      </w:pPr>
      <w:r>
        <w:t xml:space="preserve">The r-squared of 0.7447771 implies that the model explains 74.5 % variance in</w:t>
      </w:r>
      <w:r>
        <w:t xml:space="preserve"> </w:t>
      </w:r>
      <w:r>
        <w:rPr>
          <w:rStyle w:val="VerbatimChar"/>
        </w:rPr>
        <w:t xml:space="preserve">Premature age-adjusted mortality</w:t>
      </w:r>
      <w:r>
        <w:t xml:space="preserve"> </w:t>
      </w:r>
      <w:r>
        <w:t xml:space="preserve">at the county level. All the independent variables, but</w:t>
      </w:r>
      <w:r>
        <w:t xml:space="preserve"> </w:t>
      </w:r>
      <w:r>
        <w:rPr>
          <w:rStyle w:val="VerbatimChar"/>
        </w:rPr>
        <w:t xml:space="preserve">Percent Native Hawaiian other Pacific Islander</w:t>
      </w:r>
      <w:r>
        <w:t xml:space="preserve"> </w:t>
      </w:r>
      <w:r>
        <w:t xml:space="preserve">and</w:t>
      </w:r>
      <w:r>
        <w:t xml:space="preserve"> </w:t>
      </w:r>
      <w:r>
        <w:rPr>
          <w:rStyle w:val="VerbatimChar"/>
        </w:rPr>
        <w:t xml:space="preserve">graduation_rate</w:t>
      </w:r>
      <w:r>
        <w:t xml:space="preserve"> </w:t>
      </w:r>
      <w:r>
        <w:t xml:space="preserve">are statistically significant at significance level</w:t>
      </w:r>
      <w:r>
        <w:t xml:space="preserve"> </w:t>
      </w:r>
      <m:oMath>
        <m:r>
          <m:t>α</m:t>
        </m:r>
        <m:r>
          <m:rPr>
            <m:sty m:val="p"/>
          </m:rPr>
          <m:t>=</m:t>
        </m:r>
        <m:r>
          <m:t>0.05</m:t>
        </m:r>
      </m:oMath>
      <w:r>
        <w:t xml:space="preserve">, implying that the significant variables are associated to and can be used as determinants of premature age mortality. The results are consistent with findings of previous studies on race, education and female led households (Mansfield et al., 1999), income and inequlity and race (Cooper et al., 2001) and percentages of adult obesity and smoking (Rosella &amp; Buajitti, 2024) as predictors of</w:t>
      </w:r>
      <w:r>
        <w:t xml:space="preserve"> </w:t>
      </w:r>
      <w:r>
        <w:rPr>
          <w:rStyle w:val="VerbatimChar"/>
        </w:rPr>
        <w:t xml:space="preserve">Premature age-adjusted mortality</w:t>
      </w:r>
      <w:r>
        <w:t xml:space="preserve">. An approach of multilevel analysis (Shavers,2007) can be undertaken to further understand the influence of insignificant variables.</w:t>
      </w:r>
    </w:p>
    <w:p>
      <w:pPr>
        <w:pStyle w:val="BodyText"/>
      </w:pPr>
      <w:r>
        <w:t xml:space="preserve">The analysis undertaken is limited to only the data provided and extensive analysis can be undertaken to include other variables, datasets or models of interest that may capture the influence of socio-economic attributes on premature age mortality.</w:t>
      </w:r>
    </w:p>
    <w:p>
      <w:r>
        <w:br w:type="page"/>
      </w:r>
    </w:p>
    <w:bookmarkEnd w:id="38"/>
    <w:bookmarkStart w:id="51" w:name="references"/>
    <w:p>
      <w:pPr>
        <w:pStyle w:val="Heading1"/>
      </w:pPr>
      <w:r>
        <w:t xml:space="preserve">References</w:t>
      </w:r>
    </w:p>
    <w:p>
      <w:pPr>
        <w:pStyle w:val="FirstParagraph"/>
      </w:pPr>
      <w:r>
        <w:t xml:space="preserve">Adler, N. E., &amp; Newman, K. (2002). Socioeconomic disparities in health: Pathways and policies. Health Affairs, 21(2), 60–76.</w:t>
      </w:r>
      <w:r>
        <w:t xml:space="preserve"> </w:t>
      </w:r>
      <w:hyperlink r:id="rId39">
        <w:r>
          <w:rPr>
            <w:rStyle w:val="Hyperlink"/>
          </w:rPr>
          <w:t xml:space="preserve">https://doi.org/10.1377/hlthaff.21.2.60</w:t>
        </w:r>
      </w:hyperlink>
    </w:p>
    <w:p>
      <w:pPr>
        <w:pStyle w:val="BodyText"/>
      </w:pPr>
      <w:r>
        <w:t xml:space="preserve">Anandhi, P., &amp; Nathiya, E. (2023). Application of linear regression with their advantages, disadvantages, assumption and limitations.</w:t>
      </w:r>
    </w:p>
    <w:p>
      <w:pPr>
        <w:pStyle w:val="BodyText"/>
      </w:pPr>
      <w:r>
        <w:t xml:space="preserve">Bchir, A., Bhutta, Z., Binka, F., Black, R., Bradshaw, D., Garnett, G., Hayashi, K., Jha, P., Peto, R., Sawyer, C., Schwartländer, B., Walker, N., Wolfson, M., Yach, D., &amp; Zaba, B. (2006). Better health statistics are possible. The Lancet, 367(9506), 190–193.</w:t>
      </w:r>
      <w:r>
        <w:t xml:space="preserve"> </w:t>
      </w:r>
      <w:hyperlink r:id="rId40">
        <w:r>
          <w:rPr>
            <w:rStyle w:val="Hyperlink"/>
          </w:rPr>
          <w:t xml:space="preserve">https://doi.org/10.1016/s0140-6736(06)68011-2</w:t>
        </w:r>
      </w:hyperlink>
    </w:p>
    <w:p>
      <w:pPr>
        <w:pStyle w:val="BodyText"/>
      </w:pPr>
      <w:r>
        <w:t xml:space="preserve">Bhanot, K., Erickson, J. S., &amp; Bennett, K. P. (2024). Mortalityminder: Visualization and AI interpretations of social determinants of premature mortality in the United States. Information, 15(5), 254.</w:t>
      </w:r>
      <w:r>
        <w:t xml:space="preserve"> </w:t>
      </w:r>
      <w:hyperlink r:id="rId41">
        <w:r>
          <w:rPr>
            <w:rStyle w:val="Hyperlink"/>
          </w:rPr>
          <w:t xml:space="preserve">https://doi.org/10.3390/info15050254</w:t>
        </w:r>
      </w:hyperlink>
    </w:p>
    <w:p>
      <w:pPr>
        <w:pStyle w:val="BodyText"/>
      </w:pPr>
      <w:r>
        <w:t xml:space="preserve">Braveman, P. A., Cubbin, C., Egerter, S., Williams, D. R., &amp; Pamuk, E. (2010). Socioeconomic disparities in health in the United States: What the patterns tell us. American Journal of Public Health, 100(S1).</w:t>
      </w:r>
      <w:r>
        <w:t xml:space="preserve"> </w:t>
      </w:r>
      <w:hyperlink r:id="rId42">
        <w:r>
          <w:rPr>
            <w:rStyle w:val="Hyperlink"/>
          </w:rPr>
          <w:t xml:space="preserve">https://doi.org/10.2105/ajph.2009.166082</w:t>
        </w:r>
      </w:hyperlink>
    </w:p>
    <w:p>
      <w:pPr>
        <w:pStyle w:val="BodyText"/>
      </w:pPr>
      <w:r>
        <w:t xml:space="preserve">Cheng, E., &amp; Kindig, D. (2012). Disparities in premature mortality between high- and low-income US counties. Preventing Chronic Disease.</w:t>
      </w:r>
      <w:r>
        <w:t xml:space="preserve"> </w:t>
      </w:r>
      <w:hyperlink r:id="rId43">
        <w:r>
          <w:rPr>
            <w:rStyle w:val="Hyperlink"/>
          </w:rPr>
          <w:t xml:space="preserve">https://doi.org/10.5888/pcd9.110120</w:t>
        </w:r>
      </w:hyperlink>
    </w:p>
    <w:p>
      <w:pPr>
        <w:pStyle w:val="BodyText"/>
      </w:pPr>
      <w:r>
        <w:t xml:space="preserve">Cooper, R. S., Kennelly, J. F., Durazo-Arvizu, R., Oh, H.-J., Kaplan, G., &amp; Lynch, J. (2001). Relationship between premature mortality and socioeconomic factors in black and white populations of US metropolitan areas. Public Health Reports, 116(5), 464–473.</w:t>
      </w:r>
      <w:r>
        <w:t xml:space="preserve"> </w:t>
      </w:r>
      <w:hyperlink r:id="rId44">
        <w:r>
          <w:rPr>
            <w:rStyle w:val="Hyperlink"/>
          </w:rPr>
          <w:t xml:space="preserve">https://doi.org/10.1016/s0033-3549(04)50074-2</w:t>
        </w:r>
      </w:hyperlink>
    </w:p>
    <w:p>
      <w:pPr>
        <w:pStyle w:val="BodyText"/>
      </w:pPr>
      <w:r>
        <w:t xml:space="preserve">Han, X., Hu, X., Zheng, Z., Shi, K. S., &amp; Yabroff, K. R. (2024). Associations of medical debt with health status, premature death, and mortality in the US. JAMA Network Open, 7(3).</w:t>
      </w:r>
      <w:r>
        <w:t xml:space="preserve"> </w:t>
      </w:r>
      <w:hyperlink r:id="rId45">
        <w:r>
          <w:rPr>
            <w:rStyle w:val="Hyperlink"/>
          </w:rPr>
          <w:t xml:space="preserve">https://doi.org/10.1001/jamanetworkopen.2023.54766</w:t>
        </w:r>
      </w:hyperlink>
    </w:p>
    <w:p>
      <w:pPr>
        <w:pStyle w:val="BodyText"/>
      </w:pPr>
      <w:r>
        <w:t xml:space="preserve">Jobson, J. D., &amp; Jobson, J. D. (1991). Multiple linear regression. Applied multivariate data analysis: regression and experimental design, 219-398.</w:t>
      </w:r>
    </w:p>
    <w:p>
      <w:pPr>
        <w:pStyle w:val="BodyText"/>
      </w:pPr>
      <w:r>
        <w:t xml:space="preserve">Krieger, N., Chen, J. T., &amp; Ebel, G. (1997). Can we monitor socioeconomic inequalities in health? A survey of US health departments’ data collection and reporting practices. Public health reports, 112(6), 481.</w:t>
      </w:r>
    </w:p>
    <w:p>
      <w:pPr>
        <w:pStyle w:val="BodyText"/>
      </w:pPr>
      <w:r>
        <w:t xml:space="preserve">Mansfield, C. J., Wilson, J. L., Kobrinski, E. J., &amp; Mitchell, J. (1999b). Premature mortality in the United States: The roles of geographic area, socioeconomic status, household type, and availability of medical care. American Journal of Public Health, 89(6), 893–898.</w:t>
      </w:r>
      <w:r>
        <w:t xml:space="preserve"> </w:t>
      </w:r>
      <w:hyperlink r:id="rId46">
        <w:r>
          <w:rPr>
            <w:rStyle w:val="Hyperlink"/>
          </w:rPr>
          <w:t xml:space="preserve">https://doi.org/10.2105/ajph.89.6.893</w:t>
        </w:r>
      </w:hyperlink>
    </w:p>
    <w:p>
      <w:pPr>
        <w:pStyle w:val="BodyText"/>
      </w:pPr>
      <w:r>
        <w:t xml:space="preserve">Premature age-adjusted mortality*. County Health Rankings &amp; Roadmaps. (n.d.-a).</w:t>
      </w:r>
      <w:r>
        <w:t xml:space="preserve"> </w:t>
      </w:r>
      <w:hyperlink r:id="rId47">
        <w:r>
          <w:rPr>
            <w:rStyle w:val="Hyperlink"/>
          </w:rPr>
          <w:t xml:space="preserve">https://www.countyhealthrankings.org/health-data/health-outcomes/length-of-life/premature-age-adjusted-mortality?year=2024</w:t>
        </w:r>
      </w:hyperlink>
    </w:p>
    <w:p>
      <w:pPr>
        <w:pStyle w:val="BodyText"/>
      </w:pPr>
      <w:r>
        <w:t xml:space="preserve">Rosella, L. C., &amp; Buajitti, E. (2024). Risk of premature mortality due to smoking, alcohol use, obesity and physical activity varies by income: A population-based Cohort Study. SSM - Population Health, 25, 101638.</w:t>
      </w:r>
      <w:r>
        <w:t xml:space="preserve"> </w:t>
      </w:r>
      <w:hyperlink r:id="rId48">
        <w:r>
          <w:rPr>
            <w:rStyle w:val="Hyperlink"/>
          </w:rPr>
          <w:t xml:space="preserve">https://doi.org/10.1016/j.ssmph.2024.101638</w:t>
        </w:r>
      </w:hyperlink>
    </w:p>
    <w:p>
      <w:pPr>
        <w:pStyle w:val="BodyText"/>
      </w:pPr>
      <w:r>
        <w:t xml:space="preserve">Roy, B., Kiefe, C. I., Jacobs, D. R., Goff, D. C., Lloyd-Jones, D., Shikany, J. M., Reis, J. P., Gordon-Larsen, P., &amp; Lewis, C. E. (2020). Education, race/ethnicity, and causes of premature mortality among middle-aged adults in 4 US urban communities: Results from Cardia, 1985–2017. American Journal of Public Health, 110(4), 530–536.</w:t>
      </w:r>
      <w:r>
        <w:t xml:space="preserve"> </w:t>
      </w:r>
      <w:hyperlink r:id="rId49">
        <w:r>
          <w:rPr>
            <w:rStyle w:val="Hyperlink"/>
          </w:rPr>
          <w:t xml:space="preserve">https://doi.org/10.2105/ajph.2019.305506</w:t>
        </w:r>
      </w:hyperlink>
    </w:p>
    <w:p>
      <w:pPr>
        <w:pStyle w:val="BodyText"/>
      </w:pPr>
      <w:r>
        <w:t xml:space="preserve">Shavers, V. L. (2007). Measurement of socioeconomic status in health disparities research. Journal of the national medical association, 99(9), 1013.</w:t>
      </w:r>
    </w:p>
    <w:p>
      <w:pPr>
        <w:pStyle w:val="BodyText"/>
      </w:pPr>
      <w:r>
        <w:t xml:space="preserve">Sorlie, P. D., Backlund, E., &amp; Keller, J. B. (1995). US mortality by economic, demographic, and social characteristics: The National Longitudinal Mortality Study. American Journal of Public Health, 85(7), 949–956.</w:t>
      </w:r>
      <w:r>
        <w:t xml:space="preserve"> </w:t>
      </w:r>
      <w:hyperlink r:id="rId50">
        <w:r>
          <w:rPr>
            <w:rStyle w:val="Hyperlink"/>
          </w:rPr>
          <w:t xml:space="preserve">https://doi.org/10.2105/ajph.85.7.949</w:t>
        </w:r>
      </w:hyperlink>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45" Target="https://doi.org/10.1001/jamanetworkopen.2023.54766" TargetMode="External" /><Relationship Type="http://schemas.openxmlformats.org/officeDocument/2006/relationships/hyperlink" Id="rId48" Target="https://doi.org/10.1016/j.ssmph.2024.101638" TargetMode="External" /><Relationship Type="http://schemas.openxmlformats.org/officeDocument/2006/relationships/hyperlink" Id="rId44" Target="https://doi.org/10.1016/s0033-3549(04)50074-2" TargetMode="External" /><Relationship Type="http://schemas.openxmlformats.org/officeDocument/2006/relationships/hyperlink" Id="rId40" Target="https://doi.org/10.1016/s0140-6736(06)68011-2" TargetMode="External" /><Relationship Type="http://schemas.openxmlformats.org/officeDocument/2006/relationships/hyperlink" Id="rId39" Target="https://doi.org/10.1377/hlthaff.21.2.60" TargetMode="External" /><Relationship Type="http://schemas.openxmlformats.org/officeDocument/2006/relationships/hyperlink" Id="rId42" Target="https://doi.org/10.2105/ajph.2009.166082" TargetMode="External" /><Relationship Type="http://schemas.openxmlformats.org/officeDocument/2006/relationships/hyperlink" Id="rId49" Target="https://doi.org/10.2105/ajph.2019.305506" TargetMode="External" /><Relationship Type="http://schemas.openxmlformats.org/officeDocument/2006/relationships/hyperlink" Id="rId50" Target="https://doi.org/10.2105/ajph.85.7.949" TargetMode="External" /><Relationship Type="http://schemas.openxmlformats.org/officeDocument/2006/relationships/hyperlink" Id="rId46" Target="https://doi.org/10.2105/ajph.89.6.893" TargetMode="External" /><Relationship Type="http://schemas.openxmlformats.org/officeDocument/2006/relationships/hyperlink" Id="rId41" Target="https://doi.org/10.3390/info15050254" TargetMode="External" /><Relationship Type="http://schemas.openxmlformats.org/officeDocument/2006/relationships/hyperlink" Id="rId43" Target="https://doi.org/10.5888/pcd9.110120" TargetMode="External" /><Relationship Type="http://schemas.openxmlformats.org/officeDocument/2006/relationships/hyperlink" Id="rId47" Target="https://www.countyhealthrankings.org/health-data/health-outcomes/length-of-life/premature-age-adjusted-mortality?year=2024"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01/jamanetworkopen.2023.54766" TargetMode="External" /><Relationship Type="http://schemas.openxmlformats.org/officeDocument/2006/relationships/hyperlink" Id="rId48" Target="https://doi.org/10.1016/j.ssmph.2024.101638" TargetMode="External" /><Relationship Type="http://schemas.openxmlformats.org/officeDocument/2006/relationships/hyperlink" Id="rId44" Target="https://doi.org/10.1016/s0033-3549(04)50074-2" TargetMode="External" /><Relationship Type="http://schemas.openxmlformats.org/officeDocument/2006/relationships/hyperlink" Id="rId40" Target="https://doi.org/10.1016/s0140-6736(06)68011-2" TargetMode="External" /><Relationship Type="http://schemas.openxmlformats.org/officeDocument/2006/relationships/hyperlink" Id="rId39" Target="https://doi.org/10.1377/hlthaff.21.2.60" TargetMode="External" /><Relationship Type="http://schemas.openxmlformats.org/officeDocument/2006/relationships/hyperlink" Id="rId42" Target="https://doi.org/10.2105/ajph.2009.166082" TargetMode="External" /><Relationship Type="http://schemas.openxmlformats.org/officeDocument/2006/relationships/hyperlink" Id="rId49" Target="https://doi.org/10.2105/ajph.2019.305506" TargetMode="External" /><Relationship Type="http://schemas.openxmlformats.org/officeDocument/2006/relationships/hyperlink" Id="rId50" Target="https://doi.org/10.2105/ajph.85.7.949" TargetMode="External" /><Relationship Type="http://schemas.openxmlformats.org/officeDocument/2006/relationships/hyperlink" Id="rId46" Target="https://doi.org/10.2105/ajph.89.6.893" TargetMode="External" /><Relationship Type="http://schemas.openxmlformats.org/officeDocument/2006/relationships/hyperlink" Id="rId41" Target="https://doi.org/10.3390/info15050254" TargetMode="External" /><Relationship Type="http://schemas.openxmlformats.org/officeDocument/2006/relationships/hyperlink" Id="rId43" Target="https://doi.org/10.5888/pcd9.110120" TargetMode="External" /><Relationship Type="http://schemas.openxmlformats.org/officeDocument/2006/relationships/hyperlink" Id="rId47" Target="https://www.countyhealthrankings.org/health-data/health-outcomes/length-of-life/premature-age-adjusted-mortality?year=2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 Questions</dc:title>
  <dc:creator>NAME</dc:creator>
  <cp:keywords/>
  <dcterms:created xsi:type="dcterms:W3CDTF">2025-03-03T14:58:19Z</dcterms:created>
  <dcterms:modified xsi:type="dcterms:W3CDTF">2025-03-03T14:58:19Z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03, 2025</vt:lpwstr>
  </property>
  <property fmtid="{D5CDD505-2E9C-101B-9397-08002B2CF9AE}" pid="3" name="fontsize">
    <vt:lpwstr>12pt</vt:lpwstr>
  </property>
  <property fmtid="{D5CDD505-2E9C-101B-9397-08002B2CF9AE}" pid="4" name="output">
    <vt:lpwstr/>
  </property>
  <property fmtid="{D5CDD505-2E9C-101B-9397-08002B2CF9AE}" pid="5" name="spacing">
    <vt:lpwstr>single</vt:lpwstr>
  </property>
  <property fmtid="{D5CDD505-2E9C-101B-9397-08002B2CF9AE}" pid="6" name="subtitle">
    <vt:lpwstr>DATA5207: Data Analysis in the social sciences</vt:lpwstr>
  </property>
  <property fmtid="{D5CDD505-2E9C-101B-9397-08002B2CF9AE}" pid="7" name="urlcolor">
    <vt:lpwstr>blue</vt:lpwstr>
  </property>
</Properties>
</file>