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F24F" w14:textId="35E391CB" w:rsidR="00797C4C" w:rsidRPr="00AF2C48" w:rsidRDefault="00797C4C" w:rsidP="00AF2C48">
      <w:pPr>
        <w:jc w:val="center"/>
        <w:rPr>
          <w:rFonts w:ascii="Times New Roman" w:hAnsi="Times New Roman" w:cs="Times New Roman"/>
          <w:szCs w:val="22"/>
        </w:rPr>
      </w:pPr>
      <w:r w:rsidRPr="00AF2C48">
        <w:rPr>
          <w:rFonts w:ascii="Segoe UI Emoji" w:hAnsi="Segoe UI Emoji" w:cs="Segoe UI Emoji"/>
          <w:szCs w:val="22"/>
        </w:rPr>
        <w:t>🛢️</w:t>
      </w:r>
      <w:r w:rsidRPr="00AF2C48">
        <w:rPr>
          <w:rFonts w:ascii="Times New Roman" w:hAnsi="Times New Roman" w:cs="Times New Roman"/>
          <w:szCs w:val="22"/>
        </w:rPr>
        <w:t xml:space="preserve"> Prediksi Harga Minyak Mentah WTI Menggunakan LSTM</w:t>
      </w:r>
      <w:r w:rsidR="00AF2C48" w:rsidRPr="00AF2C48">
        <w:rPr>
          <w:rFonts w:ascii="Times New Roman" w:hAnsi="Times New Roman" w:cs="Times New Roman"/>
          <w:szCs w:val="22"/>
        </w:rPr>
        <w:t xml:space="preserve"> </w:t>
      </w:r>
      <w:r w:rsidRPr="00AF2C48">
        <w:rPr>
          <w:rFonts w:ascii="Times New Roman" w:hAnsi="Times New Roman" w:cs="Times New Roman"/>
          <w:szCs w:val="22"/>
        </w:rPr>
        <w:t>Time Series Forecasting</w:t>
      </w:r>
    </w:p>
    <w:p w14:paraId="63387FAD" w14:textId="77777777" w:rsidR="00AF2C48" w:rsidRPr="00AF2C48" w:rsidRDefault="00AF2C48" w:rsidP="00AF2C48">
      <w:pPr>
        <w:jc w:val="center"/>
        <w:rPr>
          <w:rFonts w:ascii="Times New Roman" w:hAnsi="Times New Roman" w:cs="Times New Roman"/>
          <w:szCs w:val="22"/>
        </w:rPr>
      </w:pPr>
    </w:p>
    <w:tbl>
      <w:tblPr>
        <w:tblStyle w:val="TableGrid"/>
        <w:tblW w:w="0" w:type="auto"/>
        <w:tblInd w:w="8" w:type="dxa"/>
        <w:tblCellMar>
          <w:top w:w="0" w:type="dxa"/>
          <w:left w:w="0" w:type="dxa"/>
          <w:bottom w:w="0" w:type="dxa"/>
          <w:right w:w="0" w:type="dxa"/>
        </w:tblCellMar>
        <w:tblLook w:val="04A0" w:firstRow="1" w:lastRow="0" w:firstColumn="1" w:lastColumn="0" w:noHBand="0" w:noVBand="1"/>
      </w:tblPr>
      <w:tblGrid>
        <w:gridCol w:w="418"/>
        <w:gridCol w:w="4252"/>
        <w:gridCol w:w="1321"/>
      </w:tblGrid>
      <w:tr w:rsidR="00797C4C" w:rsidRPr="00AF2C48" w14:paraId="2A8322EF" w14:textId="77777777" w:rsidTr="00797C4C">
        <w:tblPrEx>
          <w:tblCellMar>
            <w:top w:w="0" w:type="dxa"/>
            <w:left w:w="0" w:type="dxa"/>
            <w:bottom w:w="0" w:type="dxa"/>
            <w:right w:w="0" w:type="dxa"/>
          </w:tblCellMar>
        </w:tblPrEx>
        <w:tc>
          <w:tcPr>
            <w:tcW w:w="418" w:type="dxa"/>
            <w:hideMark/>
          </w:tcPr>
          <w:p w14:paraId="63659B83" w14:textId="77777777"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No</w:t>
            </w:r>
          </w:p>
        </w:tc>
        <w:tc>
          <w:tcPr>
            <w:tcW w:w="4252" w:type="dxa"/>
            <w:hideMark/>
          </w:tcPr>
          <w:p w14:paraId="4C0BD01F" w14:textId="77777777"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Nama</w:t>
            </w:r>
          </w:p>
        </w:tc>
        <w:tc>
          <w:tcPr>
            <w:tcW w:w="1321" w:type="dxa"/>
            <w:hideMark/>
          </w:tcPr>
          <w:p w14:paraId="7C3C25CD" w14:textId="77777777"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NIM</w:t>
            </w:r>
          </w:p>
        </w:tc>
      </w:tr>
      <w:tr w:rsidR="00797C4C" w:rsidRPr="00AF2C48" w14:paraId="0E0E88EF" w14:textId="77777777" w:rsidTr="00797C4C">
        <w:tblPrEx>
          <w:tblCellMar>
            <w:top w:w="0" w:type="dxa"/>
            <w:left w:w="0" w:type="dxa"/>
            <w:bottom w:w="0" w:type="dxa"/>
            <w:right w:w="0" w:type="dxa"/>
          </w:tblCellMar>
        </w:tblPrEx>
        <w:tc>
          <w:tcPr>
            <w:tcW w:w="418" w:type="dxa"/>
            <w:hideMark/>
          </w:tcPr>
          <w:p w14:paraId="03DFEF3D" w14:textId="77777777"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1</w:t>
            </w:r>
          </w:p>
        </w:tc>
        <w:tc>
          <w:tcPr>
            <w:tcW w:w="4252" w:type="dxa"/>
            <w:hideMark/>
          </w:tcPr>
          <w:p w14:paraId="40E9A46B" w14:textId="0F863AE3"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 xml:space="preserve">Abdul Kharis </w:t>
            </w:r>
          </w:p>
        </w:tc>
        <w:tc>
          <w:tcPr>
            <w:tcW w:w="1321" w:type="dxa"/>
            <w:hideMark/>
          </w:tcPr>
          <w:p w14:paraId="5E556B9F" w14:textId="0454987D"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2388010004</w:t>
            </w:r>
          </w:p>
        </w:tc>
      </w:tr>
      <w:tr w:rsidR="00797C4C" w:rsidRPr="00AF2C48" w14:paraId="003DD559" w14:textId="77777777" w:rsidTr="00797C4C">
        <w:tblPrEx>
          <w:tblCellMar>
            <w:top w:w="0" w:type="dxa"/>
            <w:left w:w="0" w:type="dxa"/>
            <w:bottom w:w="0" w:type="dxa"/>
            <w:right w:w="0" w:type="dxa"/>
          </w:tblCellMar>
        </w:tblPrEx>
        <w:tc>
          <w:tcPr>
            <w:tcW w:w="418" w:type="dxa"/>
            <w:hideMark/>
          </w:tcPr>
          <w:p w14:paraId="5EA7E7F4" w14:textId="77777777"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2</w:t>
            </w:r>
          </w:p>
        </w:tc>
        <w:tc>
          <w:tcPr>
            <w:tcW w:w="4252" w:type="dxa"/>
            <w:hideMark/>
          </w:tcPr>
          <w:p w14:paraId="6A7A5F25" w14:textId="27D0C79B"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Siti Malikha</w:t>
            </w:r>
          </w:p>
        </w:tc>
        <w:tc>
          <w:tcPr>
            <w:tcW w:w="1321" w:type="dxa"/>
            <w:hideMark/>
          </w:tcPr>
          <w:p w14:paraId="73A0F0AB" w14:textId="7FCD5C23"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2388010001</w:t>
            </w:r>
          </w:p>
        </w:tc>
      </w:tr>
      <w:tr w:rsidR="00797C4C" w:rsidRPr="00AF2C48" w14:paraId="7255ACC1" w14:textId="77777777" w:rsidTr="00797C4C">
        <w:tblPrEx>
          <w:tblCellMar>
            <w:top w:w="0" w:type="dxa"/>
            <w:left w:w="0" w:type="dxa"/>
            <w:bottom w:w="0" w:type="dxa"/>
            <w:right w:w="0" w:type="dxa"/>
          </w:tblCellMar>
        </w:tblPrEx>
        <w:tc>
          <w:tcPr>
            <w:tcW w:w="418" w:type="dxa"/>
            <w:hideMark/>
          </w:tcPr>
          <w:p w14:paraId="5F2E694F" w14:textId="77777777"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3</w:t>
            </w:r>
          </w:p>
        </w:tc>
        <w:tc>
          <w:tcPr>
            <w:tcW w:w="4252" w:type="dxa"/>
            <w:hideMark/>
          </w:tcPr>
          <w:p w14:paraId="128ADB76" w14:textId="52678832"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Muhammad Cevi Maulana Ramadhan</w:t>
            </w:r>
          </w:p>
        </w:tc>
        <w:tc>
          <w:tcPr>
            <w:tcW w:w="1321" w:type="dxa"/>
            <w:hideMark/>
          </w:tcPr>
          <w:p w14:paraId="741204F9" w14:textId="47F43CCD"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2388010042</w:t>
            </w:r>
          </w:p>
        </w:tc>
      </w:tr>
      <w:tr w:rsidR="00797C4C" w:rsidRPr="00AF2C48" w14:paraId="67F3E6D9" w14:textId="77777777" w:rsidTr="00797C4C">
        <w:tblPrEx>
          <w:tblCellMar>
            <w:top w:w="0" w:type="dxa"/>
            <w:left w:w="0" w:type="dxa"/>
            <w:bottom w:w="0" w:type="dxa"/>
            <w:right w:w="0" w:type="dxa"/>
          </w:tblCellMar>
        </w:tblPrEx>
        <w:tc>
          <w:tcPr>
            <w:tcW w:w="418" w:type="dxa"/>
            <w:hideMark/>
          </w:tcPr>
          <w:p w14:paraId="5BD16252" w14:textId="77777777"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4</w:t>
            </w:r>
          </w:p>
        </w:tc>
        <w:tc>
          <w:tcPr>
            <w:tcW w:w="4252" w:type="dxa"/>
            <w:hideMark/>
          </w:tcPr>
          <w:p w14:paraId="0AB5C786" w14:textId="5B1F7477"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Muhammad Devani Alghifar</w:t>
            </w:r>
            <w:r w:rsidRPr="00AF2C48">
              <w:rPr>
                <w:rFonts w:ascii="Times New Roman" w:hAnsi="Times New Roman" w:cs="Times New Roman"/>
                <w:sz w:val="20"/>
                <w:szCs w:val="20"/>
              </w:rPr>
              <w:t>i</w:t>
            </w:r>
          </w:p>
        </w:tc>
        <w:tc>
          <w:tcPr>
            <w:tcW w:w="1321" w:type="dxa"/>
            <w:hideMark/>
          </w:tcPr>
          <w:p w14:paraId="7AB40A16" w14:textId="47E56F86" w:rsidR="00797C4C" w:rsidRPr="00AF2C48" w:rsidRDefault="00797C4C" w:rsidP="00797C4C">
            <w:pPr>
              <w:rPr>
                <w:rFonts w:ascii="Times New Roman" w:hAnsi="Times New Roman" w:cs="Times New Roman"/>
                <w:sz w:val="20"/>
                <w:szCs w:val="20"/>
              </w:rPr>
            </w:pPr>
            <w:r w:rsidRPr="00AF2C48">
              <w:rPr>
                <w:rFonts w:ascii="Times New Roman" w:hAnsi="Times New Roman" w:cs="Times New Roman"/>
                <w:sz w:val="20"/>
                <w:szCs w:val="20"/>
              </w:rPr>
              <w:t xml:space="preserve">2388010048 </w:t>
            </w:r>
          </w:p>
        </w:tc>
      </w:tr>
    </w:tbl>
    <w:p w14:paraId="48F9A7BB" w14:textId="77777777" w:rsidR="00797C4C" w:rsidRPr="00AF2C48" w:rsidRDefault="00797C4C" w:rsidP="00797C4C">
      <w:pPr>
        <w:rPr>
          <w:rFonts w:ascii="Times New Roman" w:hAnsi="Times New Roman" w:cs="Times New Roman"/>
          <w:sz w:val="18"/>
          <w:szCs w:val="18"/>
        </w:rPr>
      </w:pPr>
    </w:p>
    <w:p w14:paraId="42693D33" w14:textId="77777777" w:rsidR="00797C4C" w:rsidRPr="00AF2C48" w:rsidRDefault="00797C4C" w:rsidP="00797C4C">
      <w:pPr>
        <w:rPr>
          <w:rFonts w:ascii="Times New Roman" w:hAnsi="Times New Roman" w:cs="Times New Roman"/>
          <w:sz w:val="18"/>
          <w:szCs w:val="18"/>
        </w:rPr>
      </w:pPr>
      <w:r w:rsidRPr="00AF2C48">
        <w:rPr>
          <w:rFonts w:ascii="Times New Roman" w:hAnsi="Times New Roman" w:cs="Times New Roman"/>
          <w:sz w:val="18"/>
          <w:szCs w:val="18"/>
        </w:rPr>
        <w:t>Program Studi:  Informatika   </w:t>
      </w:r>
    </w:p>
    <w:p w14:paraId="3DE37DDC" w14:textId="77777777" w:rsidR="0010527A" w:rsidRPr="00AF2C48" w:rsidRDefault="00797C4C" w:rsidP="00797C4C">
      <w:pPr>
        <w:rPr>
          <w:rFonts w:ascii="Times New Roman" w:hAnsi="Times New Roman" w:cs="Times New Roman"/>
          <w:sz w:val="18"/>
          <w:szCs w:val="18"/>
        </w:rPr>
      </w:pPr>
      <w:r w:rsidRPr="00AF2C48">
        <w:rPr>
          <w:rFonts w:ascii="Times New Roman" w:hAnsi="Times New Roman" w:cs="Times New Roman"/>
          <w:sz w:val="18"/>
          <w:szCs w:val="18"/>
        </w:rPr>
        <w:t>Universitas: UIN Siber Syekh Nurjati Cirebon   </w:t>
      </w:r>
    </w:p>
    <w:p w14:paraId="4332AA62" w14:textId="53FD77A3" w:rsidR="00797C4C" w:rsidRPr="00AF2C48" w:rsidRDefault="00797C4C" w:rsidP="00797C4C">
      <w:pPr>
        <w:rPr>
          <w:rFonts w:ascii="Times New Roman" w:hAnsi="Times New Roman" w:cs="Times New Roman"/>
          <w:sz w:val="18"/>
          <w:szCs w:val="18"/>
        </w:rPr>
      </w:pPr>
      <w:r w:rsidRPr="00AF2C48">
        <w:rPr>
          <w:rFonts w:ascii="Times New Roman" w:hAnsi="Times New Roman" w:cs="Times New Roman"/>
          <w:sz w:val="18"/>
          <w:szCs w:val="18"/>
        </w:rPr>
        <w:t>Mata Kuliah: Deep Learning   </w:t>
      </w:r>
    </w:p>
    <w:p w14:paraId="0591D2B9" w14:textId="218C0F1B" w:rsidR="00797C4C" w:rsidRPr="00AF2C48" w:rsidRDefault="00797C4C" w:rsidP="00AF2C48">
      <w:pPr>
        <w:rPr>
          <w:rFonts w:ascii="Times New Roman" w:hAnsi="Times New Roman" w:cs="Times New Roman"/>
          <w:sz w:val="18"/>
          <w:szCs w:val="18"/>
        </w:rPr>
      </w:pPr>
      <w:r w:rsidRPr="00AF2C48">
        <w:rPr>
          <w:rFonts w:ascii="Times New Roman" w:hAnsi="Times New Roman" w:cs="Times New Roman"/>
          <w:sz w:val="18"/>
          <w:szCs w:val="18"/>
        </w:rPr>
        <w:t>link Google Colab </w:t>
      </w:r>
      <w:r w:rsidR="00AF2C48">
        <w:rPr>
          <w:rFonts w:ascii="Times New Roman" w:hAnsi="Times New Roman" w:cs="Times New Roman"/>
          <w:sz w:val="18"/>
          <w:szCs w:val="18"/>
        </w:rPr>
        <w:t xml:space="preserve">: </w:t>
      </w:r>
      <w:hyperlink r:id="rId6" w:history="1">
        <w:r w:rsidR="00AF2C48" w:rsidRPr="005164BF">
          <w:rPr>
            <w:rStyle w:val="Hyperlink"/>
            <w:rFonts w:ascii="Times New Roman" w:hAnsi="Times New Roman" w:cs="Times New Roman"/>
            <w:sz w:val="18"/>
            <w:szCs w:val="18"/>
          </w:rPr>
          <w:t>https://colab.research.google.com/drive/1AH_MY2Nxg_2nLo5xAtsdsstFN3RjsUVG?usp=sharing</w:t>
        </w:r>
      </w:hyperlink>
    </w:p>
    <w:p w14:paraId="464DA899" w14:textId="0600733F" w:rsidR="00797C4C" w:rsidRPr="00AF2C48" w:rsidRDefault="00797C4C" w:rsidP="0010527A">
      <w:pPr>
        <w:ind w:left="0" w:firstLine="0"/>
        <w:rPr>
          <w:rFonts w:ascii="Times New Roman" w:hAnsi="Times New Roman" w:cs="Times New Roman"/>
          <w:szCs w:val="22"/>
        </w:rPr>
      </w:pPr>
    </w:p>
    <w:p w14:paraId="2C49C190" w14:textId="77777777" w:rsidR="00797C4C" w:rsidRPr="00AF2C48" w:rsidRDefault="00797C4C" w:rsidP="0010527A">
      <w:pPr>
        <w:spacing w:before="0" w:after="160" w:line="278" w:lineRule="auto"/>
        <w:ind w:left="0" w:firstLine="0"/>
        <w:jc w:val="center"/>
        <w:rPr>
          <w:rFonts w:asciiTheme="minorHAnsi" w:eastAsiaTheme="minorHAnsi" w:hAnsiTheme="minorHAnsi" w:cstheme="minorBidi"/>
          <w:color w:val="auto"/>
          <w:szCs w:val="22"/>
          <w:lang w:eastAsia="en-US"/>
        </w:rPr>
      </w:pPr>
      <w:r w:rsidRPr="00AF2C48">
        <w:rPr>
          <w:rFonts w:ascii="Segoe UI Emoji" w:eastAsiaTheme="minorHAnsi" w:hAnsi="Segoe UI Emoji" w:cs="Segoe UI Emoji"/>
          <w:color w:val="auto"/>
          <w:szCs w:val="22"/>
          <w:lang w:eastAsia="en-US"/>
        </w:rPr>
        <w:t>📄</w:t>
      </w:r>
      <w:r w:rsidRPr="00AF2C48">
        <w:rPr>
          <w:rFonts w:asciiTheme="minorHAnsi" w:eastAsiaTheme="minorHAnsi" w:hAnsiTheme="minorHAnsi" w:cstheme="minorBidi"/>
          <w:color w:val="auto"/>
          <w:szCs w:val="22"/>
          <w:lang w:eastAsia="en-US"/>
        </w:rPr>
        <w:t xml:space="preserve"> MILESTONE 1 — Proposal Kasus &amp; Dataset Scraping</w:t>
      </w:r>
    </w:p>
    <w:p w14:paraId="24936BD5" w14:textId="3CEF3217" w:rsidR="00797C4C" w:rsidRPr="00AF2C48" w:rsidRDefault="00797C4C" w:rsidP="0010527A">
      <w:pPr>
        <w:pStyle w:val="ListParagraph"/>
        <w:numPr>
          <w:ilvl w:val="1"/>
          <w:numId w:val="6"/>
        </w:numPr>
        <w:spacing w:before="0" w:after="160" w:line="278" w:lineRule="auto"/>
        <w:ind w:left="720"/>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Kasus yang Dipilih</w:t>
      </w:r>
    </w:p>
    <w:p w14:paraId="1F124EBD" w14:textId="2A3C1E25" w:rsidR="0010527A" w:rsidRPr="00AF2C48" w:rsidRDefault="00797C4C" w:rsidP="0010527A">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Judul Kasus: Prediksi Harga Penutupan Minyak Mentah CL=F / WTI (West Texas Intermediate) Berbasis Pendekatan Multivariat Deep Learning.</w:t>
      </w:r>
    </w:p>
    <w:p w14:paraId="0188B334" w14:textId="36AD1CF1" w:rsidR="00797C4C" w:rsidRPr="00AF2C48" w:rsidRDefault="00797C4C" w:rsidP="0010527A">
      <w:pPr>
        <w:pStyle w:val="ListParagraph"/>
        <w:numPr>
          <w:ilvl w:val="1"/>
          <w:numId w:val="6"/>
        </w:numPr>
        <w:spacing w:before="0" w:after="160" w:line="278" w:lineRule="auto"/>
        <w:ind w:left="720"/>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Alasan Pemilihan Kasus</w:t>
      </w:r>
    </w:p>
    <w:p w14:paraId="744F769A" w14:textId="3F9CF8F4" w:rsidR="00797C4C" w:rsidRPr="00AF2C48" w:rsidRDefault="00797C4C" w:rsidP="0010527A">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 xml:space="preserve">Harga minyak mentah merupakan salah satu variabel ekonomi yang paling berpengaruh di dunia. Fluktuasi harga minyak berdampak langsung pada inflasi, nilai tukar, pasar saham, dan pertumbuhan ekonomi global. Jurnal "The Determinants of Crude Oil Prices: Evidence from ARDL and Nonlinear ARDL Approaches" (CESifo Working Paper No. 10050) </w:t>
      </w:r>
      <w:sdt>
        <w:sdtPr>
          <w:rPr>
            <w:rFonts w:ascii="Calibri" w:eastAsiaTheme="minorHAnsi" w:hAnsi="Calibri" w:cs="Calibri"/>
            <w:szCs w:val="22"/>
            <w:lang w:eastAsia="en-US"/>
          </w:rPr>
          <w:tag w:val="MENDELEY_CITATION_v3_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"/>
          <w:id w:val="-13004358"/>
          <w:placeholder>
            <w:docPart w:val="DefaultPlaceholder_-1854013440"/>
          </w:placeholder>
        </w:sdtPr>
        <w:sdtContent>
          <w:r w:rsidR="00AF2C48" w:rsidRPr="00AF2C48">
            <w:rPr>
              <w:rFonts w:ascii="Calibri" w:eastAsiaTheme="minorHAnsi" w:hAnsi="Calibri" w:cs="Calibri"/>
              <w:szCs w:val="22"/>
              <w:lang w:eastAsia="en-US"/>
            </w:rPr>
            <w:t>(Salem et al., 2022)</w:t>
          </w:r>
        </w:sdtContent>
      </w:sdt>
      <w:r w:rsidR="00AF2C48" w:rsidRPr="00AF2C48">
        <w:rPr>
          <w:rFonts w:asciiTheme="minorHAnsi" w:eastAsiaTheme="minorHAnsi" w:hAnsiTheme="minorHAnsi" w:cstheme="minorBidi"/>
          <w:color w:val="auto"/>
          <w:szCs w:val="22"/>
          <w:lang w:eastAsia="en-US"/>
        </w:rPr>
        <w:t xml:space="preserve"> </w:t>
      </w:r>
      <w:r w:rsidRPr="00AF2C48">
        <w:rPr>
          <w:rFonts w:asciiTheme="minorHAnsi" w:eastAsiaTheme="minorHAnsi" w:hAnsiTheme="minorHAnsi" w:cstheme="minorBidi"/>
          <w:color w:val="auto"/>
          <w:szCs w:val="22"/>
          <w:lang w:eastAsia="en-US"/>
        </w:rPr>
        <w:t>membuktikan secara empiris bahwa harga minyak dipengaruhi oleh berbagai variabel makroekonomi seperti harga emas, indeks dolar AS, harga futures minyak, serta kebijakan ketidakpastian ekonomi (EPU), baik dalam jangka pendek maupun jangka panjang. Hal ini menjadikan masalah prediksi harga minyak sangat kompleks dan sesuai untuk didekati dengan model deep learning berbasis data runtun waktu multivariat.</w:t>
      </w:r>
    </w:p>
    <w:p w14:paraId="2785F24D" w14:textId="14A9B33C" w:rsidR="00797C4C" w:rsidRPr="00AF2C48" w:rsidRDefault="00797C4C" w:rsidP="0010527A">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Selain itu, jurnal "Investigating Factors Influencing Oil Volatility: A GARCH-MIDAS Model Analysis" (Frontiers in Energy Research, 2024)</w:t>
      </w:r>
      <w:r w:rsidR="00AF2C48" w:rsidRPr="00AF2C48">
        <w:rPr>
          <w:rFonts w:asciiTheme="minorHAnsi" w:eastAsiaTheme="minorHAnsi" w:hAnsiTheme="minorHAnsi" w:cstheme="minorBidi"/>
          <w:color w:val="auto"/>
          <w:szCs w:val="22"/>
          <w:lang w:eastAsia="en-US"/>
        </w:rPr>
        <w:t xml:space="preserve"> </w:t>
      </w:r>
      <w:sdt>
        <w:sdtPr>
          <w:rPr>
            <w:rFonts w:ascii="Calibri" w:eastAsiaTheme="minorHAnsi" w:hAnsi="Calibri" w:cs="Calibri"/>
            <w:szCs w:val="22"/>
            <w:lang w:eastAsia="en-US"/>
          </w:rPr>
          <w:tag w:val="MENDELEY_CITATION_v3_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"/>
          <w:id w:val="1946115633"/>
          <w:placeholder>
            <w:docPart w:val="DefaultPlaceholder_-1854013440"/>
          </w:placeholder>
        </w:sdtPr>
        <w:sdtContent>
          <w:r w:rsidR="00AF2C48" w:rsidRPr="00AF2C48">
            <w:rPr>
              <w:rFonts w:ascii="Calibri" w:eastAsiaTheme="minorHAnsi" w:hAnsi="Calibri" w:cs="Calibri"/>
              <w:szCs w:val="22"/>
              <w:lang w:eastAsia="en-US"/>
            </w:rPr>
            <w:t>(Le et al., 2024)</w:t>
          </w:r>
        </w:sdtContent>
      </w:sdt>
      <w:r w:rsidRPr="00AF2C48">
        <w:rPr>
          <w:rFonts w:asciiTheme="minorHAnsi" w:eastAsiaTheme="minorHAnsi" w:hAnsiTheme="minorHAnsi" w:cstheme="minorBidi"/>
          <w:color w:val="auto"/>
          <w:szCs w:val="22"/>
          <w:lang w:eastAsia="en-US"/>
        </w:rPr>
        <w:t xml:space="preserve"> mengidentifikasi bahwa volatilitas harga minyak dipengaruhi oleh indeks produksi industri (IPI), ketidakpastian kebijakan ekonomi (GEPU), jumlah rig pengeboran global (ADU), serta risiko geopolitik (GPR). Faktor-faktor ini saling berkaitan dan membentuk pola dependensi temporal yang kuat, sehingga model sekuensial seperti LSTM sangat relevan untuk digunakan.</w:t>
      </w:r>
    </w:p>
    <w:p w14:paraId="58AD38D5" w14:textId="552D1181" w:rsidR="00797C4C" w:rsidRPr="00AF2C48" w:rsidRDefault="00797C4C" w:rsidP="0010527A">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Jurnal ketiga, "Testing the Volatility Spillover between Crude Oil Price and the U.S. Stock Market Returns" (Management Science Letters, 2019)</w:t>
      </w:r>
      <w:r w:rsidR="00AF2C48" w:rsidRPr="00AF2C48">
        <w:rPr>
          <w:rFonts w:asciiTheme="minorHAnsi" w:eastAsiaTheme="minorHAnsi" w:hAnsiTheme="minorHAnsi" w:cstheme="minorBidi"/>
          <w:color w:val="auto"/>
          <w:szCs w:val="22"/>
          <w:lang w:eastAsia="en-US"/>
        </w:rPr>
        <w:t xml:space="preserve"> </w:t>
      </w:r>
      <w:sdt>
        <w:sdtPr>
          <w:rPr>
            <w:rFonts w:ascii="Calibri" w:eastAsiaTheme="minorHAnsi" w:hAnsi="Calibri" w:cs="Calibri"/>
            <w:szCs w:val="22"/>
            <w:lang w:eastAsia="en-US"/>
          </w:rPr>
          <w:tag w:val="MENDELEY_CITATION_v3_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"/>
          <w:id w:val="-840156148"/>
          <w:placeholder>
            <w:docPart w:val="DefaultPlaceholder_-1854013440"/>
          </w:placeholder>
        </w:sdtPr>
        <w:sdtContent>
          <w:r w:rsidR="00AF2C48" w:rsidRPr="00AF2C48">
            <w:rPr>
              <w:rFonts w:ascii="Calibri" w:eastAsiaTheme="minorHAnsi" w:hAnsi="Calibri" w:cs="Calibri"/>
              <w:szCs w:val="22"/>
              <w:lang w:eastAsia="en-US"/>
            </w:rPr>
            <w:t>(Kondoz et al., 2019)</w:t>
          </w:r>
        </w:sdtContent>
      </w:sdt>
      <w:r w:rsidRPr="00AF2C48">
        <w:rPr>
          <w:rFonts w:asciiTheme="minorHAnsi" w:eastAsiaTheme="minorHAnsi" w:hAnsiTheme="minorHAnsi" w:cstheme="minorBidi"/>
          <w:color w:val="auto"/>
          <w:szCs w:val="22"/>
          <w:lang w:eastAsia="en-US"/>
        </w:rPr>
        <w:t>, menunjukkan adanya transmisi volatilitas satu arah dari indeks S&amp;P500 ke harga minyak WTI menggunakan model BEKK-</w:t>
      </w:r>
      <w:r w:rsidRPr="00AF2C48">
        <w:rPr>
          <w:rFonts w:asciiTheme="minorHAnsi" w:eastAsiaTheme="minorHAnsi" w:hAnsiTheme="minorHAnsi" w:cstheme="minorBidi"/>
          <w:color w:val="auto"/>
          <w:szCs w:val="22"/>
          <w:lang w:eastAsia="en-US"/>
        </w:rPr>
        <w:lastRenderedPageBreak/>
        <w:t>GARCH. Temuan ini menjadi landasan ilmiah bahwa indeks S&amp;P500 (SP500) merupakan fitur prediktif yang valid dan harus disertakan dalam model prediksi harga minyak.</w:t>
      </w:r>
    </w:p>
    <w:p w14:paraId="086A1A73" w14:textId="79A47332" w:rsidR="00797C4C" w:rsidRPr="00AF2C48" w:rsidRDefault="00797C4C" w:rsidP="0010527A">
      <w:pPr>
        <w:pStyle w:val="ListParagraph"/>
        <w:numPr>
          <w:ilvl w:val="1"/>
          <w:numId w:val="6"/>
        </w:numPr>
        <w:spacing w:before="0" w:after="160" w:line="278" w:lineRule="auto"/>
        <w:ind w:left="720"/>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Sumber Data</w:t>
      </w:r>
    </w:p>
    <w:p w14:paraId="698563CC" w14:textId="77777777" w:rsidR="00797C4C" w:rsidRPr="00AF2C48" w:rsidRDefault="00797C4C" w:rsidP="0010527A">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Data diambil secara otomatis menggunakan simulasi browser dengan library selenium dan BeautifulSoup untuk mengekstrak data historis dari Yahoo Finance, yang merupakan sumber data keuangan historis yang terpercaya dan bebas akses. Data yang diambil adalah harga penutupan harian (daily closing price) dari empat instrumen finansial:</w:t>
      </w:r>
    </w:p>
    <w:tbl>
      <w:tblPr>
        <w:tblStyle w:val="TableGrid0"/>
        <w:tblW w:w="8631" w:type="dxa"/>
        <w:tblInd w:w="720" w:type="dxa"/>
        <w:tblLook w:val="04A0" w:firstRow="1" w:lastRow="0" w:firstColumn="1" w:lastColumn="0" w:noHBand="0" w:noVBand="1"/>
      </w:tblPr>
      <w:tblGrid>
        <w:gridCol w:w="1543"/>
        <w:gridCol w:w="2410"/>
        <w:gridCol w:w="4678"/>
      </w:tblGrid>
      <w:tr w:rsidR="0010527A" w:rsidRPr="00AF2C48" w14:paraId="1D600E24" w14:textId="77777777" w:rsidTr="0010527A">
        <w:tc>
          <w:tcPr>
            <w:tcW w:w="1543" w:type="dxa"/>
            <w:vAlign w:val="center"/>
          </w:tcPr>
          <w:p w14:paraId="5088D232" w14:textId="6508F11C"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Simbol Ticker</w:t>
            </w:r>
          </w:p>
        </w:tc>
        <w:tc>
          <w:tcPr>
            <w:tcW w:w="2410" w:type="dxa"/>
            <w:vAlign w:val="center"/>
          </w:tcPr>
          <w:p w14:paraId="2BF49A23" w14:textId="23169E8F"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Nama Aset</w:t>
            </w:r>
          </w:p>
        </w:tc>
        <w:tc>
          <w:tcPr>
            <w:tcW w:w="4678" w:type="dxa"/>
            <w:vAlign w:val="center"/>
          </w:tcPr>
          <w:p w14:paraId="61C9FF9D" w14:textId="35CD9031"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Alasan Pemilihan</w:t>
            </w:r>
          </w:p>
        </w:tc>
      </w:tr>
      <w:tr w:rsidR="0010527A" w:rsidRPr="00AF2C48" w14:paraId="3559DA20" w14:textId="77777777" w:rsidTr="0010527A">
        <w:tc>
          <w:tcPr>
            <w:tcW w:w="1543" w:type="dxa"/>
            <w:vAlign w:val="center"/>
          </w:tcPr>
          <w:p w14:paraId="090B4855" w14:textId="2A218324"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CL=F</w:t>
            </w:r>
          </w:p>
        </w:tc>
        <w:tc>
          <w:tcPr>
            <w:tcW w:w="2410" w:type="dxa"/>
            <w:vAlign w:val="center"/>
          </w:tcPr>
          <w:p w14:paraId="10E2A2C6" w14:textId="62B0BFA9"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WTI Crude Oil Futures</w:t>
            </w:r>
          </w:p>
        </w:tc>
        <w:tc>
          <w:tcPr>
            <w:tcW w:w="4678" w:type="dxa"/>
            <w:vAlign w:val="center"/>
          </w:tcPr>
          <w:p w14:paraId="618B3AC1" w14:textId="31B5B074"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Variabel target prediksi</w:t>
            </w:r>
          </w:p>
        </w:tc>
      </w:tr>
      <w:tr w:rsidR="0010527A" w:rsidRPr="00AF2C48" w14:paraId="6D492EAD" w14:textId="77777777" w:rsidTr="0010527A">
        <w:tc>
          <w:tcPr>
            <w:tcW w:w="1543" w:type="dxa"/>
            <w:vAlign w:val="center"/>
          </w:tcPr>
          <w:p w14:paraId="5311D990" w14:textId="223F27DC"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^GSPC</w:t>
            </w:r>
          </w:p>
        </w:tc>
        <w:tc>
          <w:tcPr>
            <w:tcW w:w="2410" w:type="dxa"/>
            <w:vAlign w:val="center"/>
          </w:tcPr>
          <w:p w14:paraId="6ED43E47" w14:textId="6BE8F4F7"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S&amp;P 500 Index</w:t>
            </w:r>
          </w:p>
        </w:tc>
        <w:tc>
          <w:tcPr>
            <w:tcW w:w="4678" w:type="dxa"/>
            <w:vAlign w:val="center"/>
          </w:tcPr>
          <w:p w14:paraId="5F66293F" w14:textId="630AA3F6"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Transmisi volatilitas ke minyak (MSL, 2019)</w:t>
            </w:r>
          </w:p>
        </w:tc>
      </w:tr>
      <w:tr w:rsidR="0010527A" w:rsidRPr="00AF2C48" w14:paraId="32BC5462" w14:textId="77777777" w:rsidTr="0010527A">
        <w:tc>
          <w:tcPr>
            <w:tcW w:w="1543" w:type="dxa"/>
            <w:vAlign w:val="center"/>
          </w:tcPr>
          <w:p w14:paraId="2B90860E" w14:textId="2A40F480"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GC=F</w:t>
            </w:r>
          </w:p>
        </w:tc>
        <w:tc>
          <w:tcPr>
            <w:tcW w:w="2410" w:type="dxa"/>
            <w:vAlign w:val="center"/>
          </w:tcPr>
          <w:p w14:paraId="62738D71" w14:textId="18F0AE11"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Gold Futures</w:t>
            </w:r>
          </w:p>
        </w:tc>
        <w:tc>
          <w:tcPr>
            <w:tcW w:w="4678" w:type="dxa"/>
            <w:vAlign w:val="center"/>
          </w:tcPr>
          <w:p w14:paraId="06061766" w14:textId="6452744D"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Korelasi positif dengan WTI (CESifo, 2022)</w:t>
            </w:r>
          </w:p>
        </w:tc>
      </w:tr>
      <w:tr w:rsidR="0010527A" w:rsidRPr="00AF2C48" w14:paraId="31EF071A" w14:textId="77777777" w:rsidTr="0010527A">
        <w:tc>
          <w:tcPr>
            <w:tcW w:w="1543" w:type="dxa"/>
            <w:vAlign w:val="center"/>
          </w:tcPr>
          <w:p w14:paraId="7DFE1382" w14:textId="4A449BAB"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DX-Y.NYB</w:t>
            </w:r>
          </w:p>
        </w:tc>
        <w:tc>
          <w:tcPr>
            <w:tcW w:w="2410" w:type="dxa"/>
            <w:vAlign w:val="center"/>
          </w:tcPr>
          <w:p w14:paraId="173F4F40" w14:textId="4514C5F7"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US Dollar Index (DXY)</w:t>
            </w:r>
          </w:p>
        </w:tc>
        <w:tc>
          <w:tcPr>
            <w:tcW w:w="4678" w:type="dxa"/>
            <w:vAlign w:val="center"/>
          </w:tcPr>
          <w:p w14:paraId="72D008D0" w14:textId="48FB5C36" w:rsidR="0010527A" w:rsidRPr="00AF2C48" w:rsidRDefault="0010527A" w:rsidP="0010527A">
            <w:pPr>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Korelasi negatif dengan WTI (CESifo, 2022)</w:t>
            </w:r>
          </w:p>
        </w:tc>
      </w:tr>
    </w:tbl>
    <w:p w14:paraId="7419ECFC" w14:textId="77777777" w:rsidR="0010527A" w:rsidRPr="00AF2C48" w:rsidRDefault="0010527A" w:rsidP="0010527A">
      <w:pPr>
        <w:ind w:left="0" w:firstLine="0"/>
        <w:rPr>
          <w:rFonts w:ascii="Times New Roman" w:hAnsi="Times New Roman" w:cs="Times New Roman"/>
          <w:szCs w:val="22"/>
        </w:rPr>
      </w:pPr>
    </w:p>
    <w:p w14:paraId="47AFEEF2" w14:textId="18A96055" w:rsidR="00797C4C" w:rsidRPr="00AF2C48" w:rsidRDefault="00797C4C" w:rsidP="0010527A">
      <w:pPr>
        <w:pStyle w:val="ListParagraph"/>
        <w:numPr>
          <w:ilvl w:val="1"/>
          <w:numId w:val="6"/>
        </w:numPr>
        <w:spacing w:before="0" w:after="160" w:line="278" w:lineRule="auto"/>
        <w:ind w:left="720"/>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Detail Dataset Hasil Scraping</w:t>
      </w:r>
    </w:p>
    <w:tbl>
      <w:tblPr>
        <w:tblStyle w:val="TableGrid0"/>
        <w:tblW w:w="8631" w:type="dxa"/>
        <w:tblInd w:w="720" w:type="dxa"/>
        <w:tblLook w:val="04A0" w:firstRow="1" w:lastRow="0" w:firstColumn="1" w:lastColumn="0" w:noHBand="0" w:noVBand="1"/>
      </w:tblPr>
      <w:tblGrid>
        <w:gridCol w:w="3119"/>
        <w:gridCol w:w="5512"/>
      </w:tblGrid>
      <w:tr w:rsidR="009C4682" w:rsidRPr="00AF2C48" w14:paraId="600DCFAC" w14:textId="77777777" w:rsidTr="009C4682">
        <w:tc>
          <w:tcPr>
            <w:tcW w:w="3119" w:type="dxa"/>
            <w:vAlign w:val="center"/>
          </w:tcPr>
          <w:p w14:paraId="4F13D85F" w14:textId="1A7B1037"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Properti</w:t>
            </w:r>
          </w:p>
        </w:tc>
        <w:tc>
          <w:tcPr>
            <w:tcW w:w="5512" w:type="dxa"/>
            <w:vAlign w:val="center"/>
          </w:tcPr>
          <w:p w14:paraId="47609A57" w14:textId="7E29CBCB"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Nilai</w:t>
            </w:r>
          </w:p>
        </w:tc>
      </w:tr>
      <w:tr w:rsidR="009C4682" w:rsidRPr="00AF2C48" w14:paraId="4C355737" w14:textId="77777777" w:rsidTr="009C4682">
        <w:tc>
          <w:tcPr>
            <w:tcW w:w="3119" w:type="dxa"/>
            <w:vAlign w:val="center"/>
          </w:tcPr>
          <w:p w14:paraId="0CE4F20C" w14:textId="247C2555"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Periode Data (yang diminta)</w:t>
            </w:r>
          </w:p>
        </w:tc>
        <w:tc>
          <w:tcPr>
            <w:tcW w:w="5512" w:type="dxa"/>
            <w:vAlign w:val="center"/>
          </w:tcPr>
          <w:p w14:paraId="462673CD" w14:textId="49B0E7A6"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1 Januari 2000 — 31 Desember 2025</w:t>
            </w:r>
          </w:p>
        </w:tc>
      </w:tr>
      <w:tr w:rsidR="009C4682" w:rsidRPr="00AF2C48" w14:paraId="0195B47D" w14:textId="77777777" w:rsidTr="009C4682">
        <w:tc>
          <w:tcPr>
            <w:tcW w:w="3119" w:type="dxa"/>
            <w:vAlign w:val="center"/>
          </w:tcPr>
          <w:p w14:paraId="355FA75B" w14:textId="22B3A6DF"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Jumlah Baris (setelah alignment)</w:t>
            </w:r>
          </w:p>
        </w:tc>
        <w:tc>
          <w:tcPr>
            <w:tcW w:w="5512" w:type="dxa"/>
            <w:vAlign w:val="center"/>
          </w:tcPr>
          <w:p w14:paraId="31A427C0" w14:textId="61156B23"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Akan ditentukan setelah proses alignment</w:t>
            </w:r>
          </w:p>
        </w:tc>
      </w:tr>
      <w:tr w:rsidR="009C4682" w:rsidRPr="00AF2C48" w14:paraId="25E4C833" w14:textId="77777777" w:rsidTr="009C4682">
        <w:tc>
          <w:tcPr>
            <w:tcW w:w="3119" w:type="dxa"/>
            <w:vAlign w:val="center"/>
          </w:tcPr>
          <w:p w14:paraId="6739DAAD" w14:textId="0DBC0B6A"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Jumlah Kolom</w:t>
            </w:r>
          </w:p>
        </w:tc>
        <w:tc>
          <w:tcPr>
            <w:tcW w:w="5512" w:type="dxa"/>
            <w:vAlign w:val="center"/>
          </w:tcPr>
          <w:p w14:paraId="318712B0" w14:textId="020E91FE"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4 kolom</w:t>
            </w:r>
          </w:p>
        </w:tc>
      </w:tr>
      <w:tr w:rsidR="009C4682" w:rsidRPr="00AF2C48" w14:paraId="40340273" w14:textId="77777777" w:rsidTr="009C4682">
        <w:tc>
          <w:tcPr>
            <w:tcW w:w="3119" w:type="dxa"/>
            <w:vMerge w:val="restart"/>
          </w:tcPr>
          <w:p w14:paraId="54E11355" w14:textId="04035E65" w:rsidR="009C4682" w:rsidRPr="00AF2C48" w:rsidRDefault="009C4682" w:rsidP="009C4682">
            <w:pPr>
              <w:pStyle w:val="ListParagraph"/>
              <w:spacing w:before="0" w:after="160" w:line="278" w:lineRule="auto"/>
              <w:ind w:left="0" w:firstLine="0"/>
              <w:rPr>
                <w:rFonts w:asciiTheme="minorHAnsi" w:eastAsiaTheme="minorHAnsi" w:hAnsiTheme="minorHAnsi" w:cstheme="minorBidi"/>
                <w:color w:val="auto"/>
                <w:szCs w:val="22"/>
                <w:lang w:eastAsia="en-US"/>
              </w:rPr>
            </w:pPr>
            <w:r w:rsidRPr="00AF2C48">
              <w:rPr>
                <w:rFonts w:ascii="Times New Roman" w:hAnsi="Times New Roman" w:cs="Times New Roman"/>
                <w:szCs w:val="22"/>
              </w:rPr>
              <w:t>Nama Kolom</w:t>
            </w:r>
          </w:p>
        </w:tc>
        <w:tc>
          <w:tcPr>
            <w:tcW w:w="5512" w:type="dxa"/>
            <w:vAlign w:val="center"/>
          </w:tcPr>
          <w:p w14:paraId="59AF96AB" w14:textId="5EDCA4A6" w:rsidR="009C4682" w:rsidRPr="00AF2C48" w:rsidRDefault="009C4682" w:rsidP="009C4682">
            <w:pPr>
              <w:pStyle w:val="ListParagraph"/>
              <w:spacing w:before="0" w:after="160" w:line="278" w:lineRule="auto"/>
              <w:ind w:left="0" w:firstLine="0"/>
              <w:jc w:val="both"/>
              <w:rPr>
                <w:rFonts w:ascii="Times New Roman" w:hAnsi="Times New Roman" w:cs="Times New Roman"/>
                <w:szCs w:val="22"/>
              </w:rPr>
            </w:pPr>
            <w:r w:rsidRPr="00AF2C48">
              <w:rPr>
                <w:rFonts w:ascii="Times New Roman" w:hAnsi="Times New Roman" w:cs="Times New Roman"/>
                <w:szCs w:val="22"/>
              </w:rPr>
              <w:t>CL=F_Close</w:t>
            </w:r>
          </w:p>
        </w:tc>
      </w:tr>
      <w:tr w:rsidR="009C4682" w:rsidRPr="00AF2C48" w14:paraId="149DCB7B" w14:textId="77777777" w:rsidTr="009C4682">
        <w:tc>
          <w:tcPr>
            <w:tcW w:w="3119" w:type="dxa"/>
            <w:vMerge/>
            <w:vAlign w:val="center"/>
          </w:tcPr>
          <w:p w14:paraId="48A1AA44" w14:textId="77777777" w:rsidR="009C4682" w:rsidRPr="00AF2C48" w:rsidRDefault="009C4682" w:rsidP="009C4682">
            <w:pPr>
              <w:pStyle w:val="ListParagraph"/>
              <w:spacing w:before="0" w:after="160" w:line="278" w:lineRule="auto"/>
              <w:ind w:left="0" w:firstLine="0"/>
              <w:jc w:val="both"/>
              <w:rPr>
                <w:rFonts w:ascii="Times New Roman" w:hAnsi="Times New Roman" w:cs="Times New Roman"/>
                <w:szCs w:val="22"/>
              </w:rPr>
            </w:pPr>
          </w:p>
        </w:tc>
        <w:tc>
          <w:tcPr>
            <w:tcW w:w="5512" w:type="dxa"/>
            <w:vAlign w:val="center"/>
          </w:tcPr>
          <w:p w14:paraId="7D0DC725" w14:textId="12E2CDF6" w:rsidR="009C4682" w:rsidRPr="00AF2C48" w:rsidRDefault="009C4682" w:rsidP="009C4682">
            <w:pPr>
              <w:pStyle w:val="ListParagraph"/>
              <w:spacing w:before="0" w:after="160" w:line="278" w:lineRule="auto"/>
              <w:ind w:left="0" w:firstLine="0"/>
              <w:jc w:val="both"/>
              <w:rPr>
                <w:rFonts w:ascii="Times New Roman" w:hAnsi="Times New Roman" w:cs="Times New Roman"/>
                <w:szCs w:val="22"/>
              </w:rPr>
            </w:pPr>
            <w:r w:rsidRPr="00AF2C48">
              <w:rPr>
                <w:rFonts w:ascii="Times New Roman" w:hAnsi="Times New Roman" w:cs="Times New Roman"/>
                <w:szCs w:val="22"/>
              </w:rPr>
              <w:t>^GSPC_Close</w:t>
            </w:r>
          </w:p>
        </w:tc>
      </w:tr>
      <w:tr w:rsidR="009C4682" w:rsidRPr="00AF2C48" w14:paraId="1878ADCE" w14:textId="77777777" w:rsidTr="009C4682">
        <w:tc>
          <w:tcPr>
            <w:tcW w:w="3119" w:type="dxa"/>
            <w:vMerge/>
            <w:vAlign w:val="center"/>
          </w:tcPr>
          <w:p w14:paraId="31B86163" w14:textId="77777777" w:rsidR="009C4682" w:rsidRPr="00AF2C48" w:rsidRDefault="009C4682" w:rsidP="009C4682">
            <w:pPr>
              <w:pStyle w:val="ListParagraph"/>
              <w:spacing w:before="0" w:after="160" w:line="278" w:lineRule="auto"/>
              <w:ind w:left="0" w:firstLine="0"/>
              <w:jc w:val="both"/>
              <w:rPr>
                <w:rFonts w:ascii="Times New Roman" w:hAnsi="Times New Roman" w:cs="Times New Roman"/>
                <w:szCs w:val="22"/>
              </w:rPr>
            </w:pPr>
          </w:p>
        </w:tc>
        <w:tc>
          <w:tcPr>
            <w:tcW w:w="5512" w:type="dxa"/>
            <w:vAlign w:val="center"/>
          </w:tcPr>
          <w:p w14:paraId="097CEC0F" w14:textId="47C3B7BA" w:rsidR="009C4682" w:rsidRPr="00AF2C48" w:rsidRDefault="009C4682" w:rsidP="009C4682">
            <w:pPr>
              <w:pStyle w:val="ListParagraph"/>
              <w:spacing w:before="0" w:after="160" w:line="278" w:lineRule="auto"/>
              <w:ind w:left="0" w:firstLine="0"/>
              <w:jc w:val="both"/>
              <w:rPr>
                <w:rFonts w:ascii="Times New Roman" w:hAnsi="Times New Roman" w:cs="Times New Roman"/>
                <w:szCs w:val="22"/>
              </w:rPr>
            </w:pPr>
            <w:r w:rsidRPr="00AF2C48">
              <w:rPr>
                <w:rFonts w:ascii="Times New Roman" w:hAnsi="Times New Roman" w:cs="Times New Roman"/>
                <w:szCs w:val="22"/>
              </w:rPr>
              <w:t>GC=F_Close</w:t>
            </w:r>
          </w:p>
        </w:tc>
      </w:tr>
      <w:tr w:rsidR="009C4682" w:rsidRPr="00AF2C48" w14:paraId="79A406D1" w14:textId="77777777" w:rsidTr="009C4682">
        <w:tc>
          <w:tcPr>
            <w:tcW w:w="3119" w:type="dxa"/>
            <w:vMerge/>
            <w:vAlign w:val="center"/>
          </w:tcPr>
          <w:p w14:paraId="31101B30" w14:textId="77777777" w:rsidR="009C4682" w:rsidRPr="00AF2C48" w:rsidRDefault="009C4682" w:rsidP="009C4682">
            <w:pPr>
              <w:pStyle w:val="ListParagraph"/>
              <w:spacing w:before="0" w:after="160" w:line="278" w:lineRule="auto"/>
              <w:ind w:left="0" w:firstLine="0"/>
              <w:jc w:val="both"/>
              <w:rPr>
                <w:rFonts w:ascii="Times New Roman" w:hAnsi="Times New Roman" w:cs="Times New Roman"/>
                <w:szCs w:val="22"/>
              </w:rPr>
            </w:pPr>
          </w:p>
        </w:tc>
        <w:tc>
          <w:tcPr>
            <w:tcW w:w="5512" w:type="dxa"/>
            <w:vAlign w:val="center"/>
          </w:tcPr>
          <w:p w14:paraId="51EFDAA7" w14:textId="3B820840" w:rsidR="009C4682" w:rsidRPr="00AF2C48" w:rsidRDefault="009C4682" w:rsidP="009C4682">
            <w:pPr>
              <w:pStyle w:val="ListParagraph"/>
              <w:spacing w:before="0" w:after="160" w:line="278" w:lineRule="auto"/>
              <w:ind w:left="0" w:firstLine="0"/>
              <w:jc w:val="both"/>
              <w:rPr>
                <w:rFonts w:ascii="Times New Roman" w:hAnsi="Times New Roman" w:cs="Times New Roman"/>
                <w:szCs w:val="22"/>
              </w:rPr>
            </w:pPr>
            <w:r w:rsidRPr="00AF2C48">
              <w:rPr>
                <w:rFonts w:ascii="Times New Roman" w:hAnsi="Times New Roman" w:cs="Times New Roman"/>
                <w:szCs w:val="22"/>
              </w:rPr>
              <w:t>DX-Y.NYB_Close</w:t>
            </w:r>
          </w:p>
        </w:tc>
      </w:tr>
      <w:tr w:rsidR="009C4682" w:rsidRPr="00AF2C48" w14:paraId="66671FCA" w14:textId="77777777" w:rsidTr="009C4682">
        <w:tc>
          <w:tcPr>
            <w:tcW w:w="3119" w:type="dxa"/>
            <w:vAlign w:val="center"/>
          </w:tcPr>
          <w:p w14:paraId="264ED7EF" w14:textId="5CA29367"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Tipe Data</w:t>
            </w:r>
          </w:p>
        </w:tc>
        <w:tc>
          <w:tcPr>
            <w:tcW w:w="5512" w:type="dxa"/>
            <w:vAlign w:val="center"/>
          </w:tcPr>
          <w:p w14:paraId="39BEC3B7" w14:textId="63FDC9FE"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float64 (semua kolom)</w:t>
            </w:r>
          </w:p>
        </w:tc>
      </w:tr>
      <w:tr w:rsidR="009C4682" w:rsidRPr="00AF2C48" w14:paraId="5CC63359" w14:textId="77777777" w:rsidTr="009C4682">
        <w:tc>
          <w:tcPr>
            <w:tcW w:w="3119" w:type="dxa"/>
            <w:vAlign w:val="center"/>
          </w:tcPr>
          <w:p w14:paraId="4605EAF9" w14:textId="1A3B0944"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Format Indeks</w:t>
            </w:r>
          </w:p>
        </w:tc>
        <w:tc>
          <w:tcPr>
            <w:tcW w:w="5512" w:type="dxa"/>
            <w:vAlign w:val="center"/>
          </w:tcPr>
          <w:p w14:paraId="6C142B18" w14:textId="65DF3012"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DatetimeIndex (harian)</w:t>
            </w:r>
          </w:p>
        </w:tc>
      </w:tr>
      <w:tr w:rsidR="009C4682" w:rsidRPr="00AF2C48" w14:paraId="0D3AC7F0" w14:textId="77777777" w:rsidTr="009C4682">
        <w:tc>
          <w:tcPr>
            <w:tcW w:w="3119" w:type="dxa"/>
            <w:vAlign w:val="center"/>
          </w:tcPr>
          <w:p w14:paraId="3C9E6A9F" w14:textId="3E440F7C"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File Output</w:t>
            </w:r>
          </w:p>
        </w:tc>
        <w:tc>
          <w:tcPr>
            <w:tcW w:w="5512" w:type="dxa"/>
            <w:vAlign w:val="center"/>
          </w:tcPr>
          <w:p w14:paraId="246D3945" w14:textId="5412E5EE" w:rsidR="009C4682" w:rsidRPr="00AF2C48" w:rsidRDefault="009C4682" w:rsidP="009C4682">
            <w:pPr>
              <w:pStyle w:val="ListParagraph"/>
              <w:spacing w:before="0" w:after="160" w:line="278" w:lineRule="auto"/>
              <w:ind w:left="0" w:firstLine="0"/>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dataset_raw.csv, dataset_clean.csv</w:t>
            </w:r>
          </w:p>
        </w:tc>
      </w:tr>
    </w:tbl>
    <w:p w14:paraId="57472A0B" w14:textId="77777777" w:rsidR="00AF2C48" w:rsidRDefault="00AF2C48" w:rsidP="00AF2C48">
      <w:pPr>
        <w:spacing w:before="0" w:after="160" w:line="278" w:lineRule="auto"/>
        <w:ind w:left="720" w:firstLine="414"/>
        <w:jc w:val="both"/>
        <w:rPr>
          <w:rFonts w:asciiTheme="minorHAnsi" w:eastAsiaTheme="minorHAnsi" w:hAnsiTheme="minorHAnsi" w:cstheme="minorBidi"/>
          <w:color w:val="auto"/>
          <w:szCs w:val="22"/>
          <w:lang w:eastAsia="en-US"/>
        </w:rPr>
      </w:pPr>
    </w:p>
    <w:p w14:paraId="0C5C2D39" w14:textId="6C56C16B" w:rsidR="00AF2C48" w:rsidRPr="00AF2C48" w:rsidRDefault="00797C4C" w:rsidP="00AF2C48">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Dataset memenuhi syarat minimal 1.000 titik waktu dan bersifat multivariat (lebih dari 2 fitur), sesuai dengan ketentuan Milestone 1.</w:t>
      </w:r>
    </w:p>
    <w:p w14:paraId="3498C346" w14:textId="26A9077C" w:rsidR="00797C4C" w:rsidRPr="00AF2C48" w:rsidRDefault="00797C4C" w:rsidP="009C4682">
      <w:pPr>
        <w:pStyle w:val="ListParagraph"/>
        <w:numPr>
          <w:ilvl w:val="1"/>
          <w:numId w:val="6"/>
        </w:numPr>
        <w:spacing w:before="0" w:after="160" w:line="278" w:lineRule="auto"/>
        <w:ind w:left="720"/>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Justifikasi Pemilihan Fitur</w:t>
      </w:r>
    </w:p>
    <w:p w14:paraId="63882D71" w14:textId="1E84870E" w:rsidR="00797C4C" w:rsidRPr="00AF2C48" w:rsidRDefault="00797C4C" w:rsidP="009C4682">
      <w:pPr>
        <w:pStyle w:val="ListParagraph"/>
        <w:numPr>
          <w:ilvl w:val="0"/>
          <w:numId w:val="7"/>
        </w:numPr>
        <w:tabs>
          <w:tab w:val="num" w:pos="720"/>
        </w:tabs>
        <w:spacing w:before="0" w:after="160" w:line="278" w:lineRule="auto"/>
        <w:ind w:left="113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WTI (Target): Variabel yang diprediksi. Dipilih karena WTI adalah tolok ukur global</w:t>
      </w:r>
      <w:r w:rsidR="009C4682" w:rsidRPr="00AF2C48">
        <w:rPr>
          <w:rFonts w:asciiTheme="minorHAnsi" w:eastAsiaTheme="minorHAnsi" w:hAnsiTheme="minorHAnsi" w:cstheme="minorBidi"/>
          <w:color w:val="auto"/>
          <w:szCs w:val="22"/>
          <w:lang w:eastAsia="en-US"/>
        </w:rPr>
        <w:t xml:space="preserve"> </w:t>
      </w:r>
      <w:r w:rsidRPr="00AF2C48">
        <w:rPr>
          <w:rFonts w:asciiTheme="minorHAnsi" w:eastAsiaTheme="minorHAnsi" w:hAnsiTheme="minorHAnsi" w:cstheme="minorBidi"/>
          <w:color w:val="auto"/>
          <w:szCs w:val="22"/>
          <w:lang w:eastAsia="en-US"/>
        </w:rPr>
        <w:t>harga minyak mentah.</w:t>
      </w:r>
    </w:p>
    <w:p w14:paraId="7A444028" w14:textId="77777777" w:rsidR="00797C4C" w:rsidRPr="00AF2C48" w:rsidRDefault="00797C4C" w:rsidP="009C4682">
      <w:pPr>
        <w:pStyle w:val="ListParagraph"/>
        <w:numPr>
          <w:ilvl w:val="0"/>
          <w:numId w:val="7"/>
        </w:numPr>
        <w:tabs>
          <w:tab w:val="num" w:pos="720"/>
        </w:tabs>
        <w:spacing w:before="0" w:after="160" w:line="278" w:lineRule="auto"/>
        <w:ind w:left="113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lastRenderedPageBreak/>
        <w:t>SP500: Berdasarkan jurnal "Testing the Volatility Spillover..." (MSL, 2019), terdapat spillover volatilitas satu arah dari S&amp;P500 ke harga minyak, sehingga SP500 adalah prediktor yang valid.</w:t>
      </w:r>
    </w:p>
    <w:p w14:paraId="275E4541" w14:textId="77777777" w:rsidR="00797C4C" w:rsidRPr="00AF2C48" w:rsidRDefault="00797C4C" w:rsidP="009C4682">
      <w:pPr>
        <w:pStyle w:val="ListParagraph"/>
        <w:numPr>
          <w:ilvl w:val="0"/>
          <w:numId w:val="7"/>
        </w:numPr>
        <w:tabs>
          <w:tab w:val="num" w:pos="720"/>
        </w:tabs>
        <w:spacing w:before="0" w:after="160" w:line="278" w:lineRule="auto"/>
        <w:ind w:left="113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GOLD: Jurnal "The Determinants of Crude Oil Prices" (CESifo, 2022) membuktikan hubungan jangka panjang yang signifikan antara harga emas dan harga minyak WTI, karena keduanya sama-sama dikuotasi dalam dolar AS.</w:t>
      </w:r>
    </w:p>
    <w:p w14:paraId="669398DD" w14:textId="507BE32C" w:rsidR="00797C4C" w:rsidRPr="00AF2C48" w:rsidRDefault="00797C4C" w:rsidP="009C4682">
      <w:pPr>
        <w:pStyle w:val="ListParagraph"/>
        <w:numPr>
          <w:ilvl w:val="0"/>
          <w:numId w:val="7"/>
        </w:numPr>
        <w:tabs>
          <w:tab w:val="num" w:pos="720"/>
        </w:tabs>
        <w:spacing w:before="0" w:after="160" w:line="278" w:lineRule="auto"/>
        <w:ind w:left="113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DXY: Jurnal yang sama membuktikan bahwa pelemahan dolar AS (depresiasi) mendorong kenaikan harga minyak karena meningkatkan permintaan impor minyak</w:t>
      </w:r>
      <w:r w:rsidR="009C4682" w:rsidRPr="00AF2C48">
        <w:rPr>
          <w:rFonts w:asciiTheme="minorHAnsi" w:eastAsiaTheme="minorHAnsi" w:hAnsiTheme="minorHAnsi" w:cstheme="minorBidi"/>
          <w:color w:val="auto"/>
          <w:szCs w:val="22"/>
          <w:lang w:eastAsia="en-US"/>
        </w:rPr>
        <w:t xml:space="preserve"> </w:t>
      </w:r>
      <w:r w:rsidRPr="00AF2C48">
        <w:rPr>
          <w:rFonts w:asciiTheme="minorHAnsi" w:eastAsiaTheme="minorHAnsi" w:hAnsiTheme="minorHAnsi" w:cstheme="minorBidi"/>
          <w:color w:val="auto"/>
          <w:szCs w:val="22"/>
          <w:lang w:eastAsia="en-US"/>
        </w:rPr>
        <w:t>dari negara-negara non-dolar.</w:t>
      </w:r>
    </w:p>
    <w:p w14:paraId="5C03941D" w14:textId="77777777" w:rsidR="009C4682" w:rsidRPr="00AF2C48" w:rsidRDefault="009C4682" w:rsidP="009C4682">
      <w:pPr>
        <w:pStyle w:val="ListParagraph"/>
        <w:spacing w:before="0" w:after="160" w:line="278" w:lineRule="auto"/>
        <w:ind w:left="1134" w:firstLine="0"/>
        <w:jc w:val="both"/>
        <w:rPr>
          <w:rFonts w:asciiTheme="minorHAnsi" w:eastAsiaTheme="minorHAnsi" w:hAnsiTheme="minorHAnsi" w:cstheme="minorBidi"/>
          <w:color w:val="auto"/>
          <w:szCs w:val="22"/>
          <w:lang w:eastAsia="en-US"/>
        </w:rPr>
      </w:pPr>
    </w:p>
    <w:p w14:paraId="475C56B6" w14:textId="18AB0795" w:rsidR="00797C4C" w:rsidRPr="00AF2C48" w:rsidRDefault="00797C4C" w:rsidP="009C4682">
      <w:pPr>
        <w:pStyle w:val="ListParagraph"/>
        <w:numPr>
          <w:ilvl w:val="1"/>
          <w:numId w:val="6"/>
        </w:numPr>
        <w:spacing w:before="0" w:after="160" w:line="278" w:lineRule="auto"/>
        <w:ind w:left="720"/>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Instalasi Library Python</w:t>
      </w:r>
    </w:p>
    <w:p w14:paraId="3C776AB2" w14:textId="77777777" w:rsidR="00797C4C" w:rsidRPr="00AF2C48" w:rsidRDefault="00797C4C" w:rsidP="009C4682">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Pada tahap ini dilakukan instalasi beberapa library Python yang digunakan dalam proses scraping dan pengolahan data. Library selenium digunakan untuk otomatisasi browser, webdriver-manager digunakan untuk mengelola ChromeDriver secara otomatis, beautifulsoup4 digunakan untuk parsing HTML, sedangkan pandas digunakan untuk manipulasi dan penyimpanan dataset.</w:t>
      </w:r>
    </w:p>
    <w:p w14:paraId="4C44FBB1" w14:textId="77777777" w:rsidR="00797C4C" w:rsidRPr="00AF2C48" w:rsidRDefault="00797C4C" w:rsidP="009C4682">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Tahap ini bertujuan untuk memastikan seluruh dependency Python yang dibutuhkan dalam proses scraping tersedia dan dapat digunakan pada environment Google Colab.</w:t>
      </w:r>
    </w:p>
    <w:p w14:paraId="0D7884A7" w14:textId="09643767" w:rsidR="00797C4C" w:rsidRPr="00AF2C48" w:rsidRDefault="00797C4C" w:rsidP="009C4682">
      <w:pPr>
        <w:pStyle w:val="ListParagraph"/>
        <w:numPr>
          <w:ilvl w:val="1"/>
          <w:numId w:val="6"/>
        </w:numPr>
        <w:spacing w:before="0" w:after="160" w:line="278" w:lineRule="auto"/>
        <w:ind w:left="720"/>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Proses Scraping Data Historis</w:t>
      </w:r>
    </w:p>
    <w:p w14:paraId="6385BBDB" w14:textId="77777777" w:rsidR="00797C4C" w:rsidRPr="00AF2C48" w:rsidRDefault="00797C4C" w:rsidP="009C4682">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imes New Roman" w:hAnsi="Times New Roman" w:cs="Times New Roman"/>
          <w:szCs w:val="22"/>
        </w:rPr>
        <w:t xml:space="preserve">Pada tahap ini dilakukan proses scraping data historis pasar keuangan dari Yahoo Finance menggunakan </w:t>
      </w:r>
      <w:r w:rsidRPr="00AF2C48">
        <w:rPr>
          <w:rFonts w:asciiTheme="minorHAnsi" w:eastAsiaTheme="minorHAnsi" w:hAnsiTheme="minorHAnsi" w:cstheme="minorBidi"/>
          <w:color w:val="auto"/>
          <w:szCs w:val="22"/>
          <w:lang w:eastAsia="en-US"/>
        </w:rPr>
        <w:t>kombinasi library Selenium dan BeautifulSoup. Selenium digunakan untuk melakukan simulasi browser secara otomatis, sedangkan BeautifulSoup digunakan untuk melakukan parsing struktur HTML halaman historis Yahoo Finance.</w:t>
      </w:r>
    </w:p>
    <w:p w14:paraId="1C849B73" w14:textId="77777777" w:rsidR="00797C4C" w:rsidRPr="00AF2C48" w:rsidRDefault="00797C4C" w:rsidP="009C4682">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Data yang diambil berupa harga penutupan harian (Close) dari empat instrumen finansial, yaitu WTI Crude Oil Futures (CL=F), S&amp;P500 (^GSPC), Gold Futures (GC=F), dan US Dollar Index (DX-Y.NYB) untuk periode 1 Januari 2000 hingga 31 Desember 2025.</w:t>
      </w:r>
    </w:p>
    <w:p w14:paraId="7F8E64FE" w14:textId="14C56CB9" w:rsidR="00AF2C48" w:rsidRPr="00AF2C48" w:rsidRDefault="00797C4C" w:rsidP="00AF2C48">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Theme="minorHAnsi" w:eastAsiaTheme="minorHAnsi" w:hAnsiTheme="minorHAnsi" w:cstheme="minorBidi"/>
          <w:color w:val="auto"/>
          <w:szCs w:val="22"/>
          <w:lang w:eastAsia="en-US"/>
        </w:rPr>
        <w:t>Selain proses scraping, tahap ini juga mencakup konfigurasi browser headless, ekstraksi tabel historis, pembersihan data awal, serta penyimpanan dataset mentah ke dalam file dataset_raw.csv.</w:t>
      </w:r>
    </w:p>
    <w:p w14:paraId="1461DA1F" w14:textId="77777777" w:rsidR="00AF2C48" w:rsidRPr="00AF2C48" w:rsidRDefault="00AF2C48" w:rsidP="009C4682">
      <w:pPr>
        <w:spacing w:before="0" w:after="160" w:line="278" w:lineRule="auto"/>
        <w:ind w:left="720" w:firstLine="414"/>
        <w:jc w:val="both"/>
        <w:rPr>
          <w:rFonts w:asciiTheme="minorHAnsi" w:eastAsiaTheme="minorHAnsi" w:hAnsiTheme="minorHAnsi" w:cstheme="minorBidi"/>
          <w:color w:val="auto"/>
          <w:szCs w:val="22"/>
          <w:lang w:eastAsia="en-US"/>
        </w:rPr>
      </w:pPr>
    </w:p>
    <w:sdt>
      <w:sdtPr>
        <w:rPr>
          <w:rFonts w:ascii="Calibri" w:eastAsiaTheme="minorHAnsi" w:hAnsi="Calibri" w:cs="Calibri"/>
          <w:szCs w:val="22"/>
          <w:lang w:eastAsia="en-US"/>
        </w:rPr>
        <w:tag w:val="MENDELEY_BIBLIOGRAPHY"/>
        <w:id w:val="1367566327"/>
        <w:placeholder>
          <w:docPart w:val="DefaultPlaceholder_-1854013440"/>
        </w:placeholder>
      </w:sdtPr>
      <w:sdtContent>
        <w:p w14:paraId="39F0547C" w14:textId="77777777" w:rsidR="00AF2C48" w:rsidRPr="00AF2C48" w:rsidRDefault="00AF2C48">
          <w:pPr>
            <w:autoSpaceDE w:val="0"/>
            <w:autoSpaceDN w:val="0"/>
            <w:ind w:hanging="480"/>
            <w:divId w:val="750080917"/>
            <w:rPr>
              <w:rFonts w:ascii="Calibri" w:eastAsia="Times New Roman" w:hAnsi="Calibri" w:cs="Calibri"/>
              <w:kern w:val="0"/>
              <w:szCs w:val="22"/>
              <w14:ligatures w14:val="none"/>
            </w:rPr>
          </w:pPr>
          <w:r w:rsidRPr="00AF2C48">
            <w:rPr>
              <w:rFonts w:ascii="Calibri" w:eastAsia="Times New Roman" w:hAnsi="Calibri" w:cs="Calibri"/>
              <w:szCs w:val="22"/>
            </w:rPr>
            <w:t xml:space="preserve">Kondoz, M., Bora, I., Kirikkaleli, D., &amp; Athari, S. A. (2019). Testing the volatility spillover between crude oil price and the U.S. stock market returns. </w:t>
          </w:r>
          <w:r w:rsidRPr="00AF2C48">
            <w:rPr>
              <w:rFonts w:ascii="Calibri" w:eastAsia="Times New Roman" w:hAnsi="Calibri" w:cs="Calibri"/>
              <w:i/>
              <w:iCs/>
              <w:szCs w:val="22"/>
            </w:rPr>
            <w:t>Management Science Letters</w:t>
          </w:r>
          <w:r w:rsidRPr="00AF2C48">
            <w:rPr>
              <w:rFonts w:ascii="Calibri" w:eastAsia="Times New Roman" w:hAnsi="Calibri" w:cs="Calibri"/>
              <w:szCs w:val="22"/>
            </w:rPr>
            <w:t xml:space="preserve">, </w:t>
          </w:r>
          <w:r w:rsidRPr="00AF2C48">
            <w:rPr>
              <w:rFonts w:ascii="Calibri" w:eastAsia="Times New Roman" w:hAnsi="Calibri" w:cs="Calibri"/>
              <w:i/>
              <w:iCs/>
              <w:szCs w:val="22"/>
            </w:rPr>
            <w:t>9</w:t>
          </w:r>
          <w:r w:rsidRPr="00AF2C48">
            <w:rPr>
              <w:rFonts w:ascii="Calibri" w:eastAsia="Times New Roman" w:hAnsi="Calibri" w:cs="Calibri"/>
              <w:szCs w:val="22"/>
            </w:rPr>
            <w:t>(8), 1221–1230. https://doi.org/10.5267/j.msl.2019.4.019</w:t>
          </w:r>
        </w:p>
        <w:p w14:paraId="53E5D8CF" w14:textId="77777777" w:rsidR="00AF2C48" w:rsidRPr="00AF2C48" w:rsidRDefault="00AF2C48">
          <w:pPr>
            <w:autoSpaceDE w:val="0"/>
            <w:autoSpaceDN w:val="0"/>
            <w:ind w:hanging="480"/>
            <w:divId w:val="725108137"/>
            <w:rPr>
              <w:rFonts w:ascii="Calibri" w:eastAsia="Times New Roman" w:hAnsi="Calibri" w:cs="Calibri"/>
              <w:szCs w:val="22"/>
            </w:rPr>
          </w:pPr>
          <w:r w:rsidRPr="00AF2C48">
            <w:rPr>
              <w:rFonts w:ascii="Calibri" w:eastAsia="Times New Roman" w:hAnsi="Calibri" w:cs="Calibri"/>
              <w:szCs w:val="22"/>
            </w:rPr>
            <w:t xml:space="preserve">Le, Y., Wen, J., Wu, Y., Liu, J., &amp; Zhu, Y. (2024). Investigating factors influencing oil volatility: a GARCH-MIDAS model analysis. </w:t>
          </w:r>
          <w:r w:rsidRPr="00AF2C48">
            <w:rPr>
              <w:rFonts w:ascii="Calibri" w:eastAsia="Times New Roman" w:hAnsi="Calibri" w:cs="Calibri"/>
              <w:i/>
              <w:iCs/>
              <w:szCs w:val="22"/>
            </w:rPr>
            <w:t>Frontiers in Energy Research</w:t>
          </w:r>
          <w:r w:rsidRPr="00AF2C48">
            <w:rPr>
              <w:rFonts w:ascii="Calibri" w:eastAsia="Times New Roman" w:hAnsi="Calibri" w:cs="Calibri"/>
              <w:szCs w:val="22"/>
            </w:rPr>
            <w:t xml:space="preserve">, </w:t>
          </w:r>
          <w:r w:rsidRPr="00AF2C48">
            <w:rPr>
              <w:rFonts w:ascii="Calibri" w:eastAsia="Times New Roman" w:hAnsi="Calibri" w:cs="Calibri"/>
              <w:i/>
              <w:iCs/>
              <w:szCs w:val="22"/>
            </w:rPr>
            <w:t>12</w:t>
          </w:r>
          <w:r w:rsidRPr="00AF2C48">
            <w:rPr>
              <w:rFonts w:ascii="Calibri" w:eastAsia="Times New Roman" w:hAnsi="Calibri" w:cs="Calibri"/>
              <w:szCs w:val="22"/>
            </w:rPr>
            <w:t>. https://doi.org/10.3389/fenrg.2024.1392905</w:t>
          </w:r>
        </w:p>
        <w:p w14:paraId="33BB6D25" w14:textId="77777777" w:rsidR="00AF2C48" w:rsidRPr="00AF2C48" w:rsidRDefault="00AF2C48">
          <w:pPr>
            <w:autoSpaceDE w:val="0"/>
            <w:autoSpaceDN w:val="0"/>
            <w:ind w:hanging="480"/>
            <w:divId w:val="1656033945"/>
            <w:rPr>
              <w:rFonts w:ascii="Calibri" w:eastAsia="Times New Roman" w:hAnsi="Calibri" w:cs="Calibri"/>
              <w:szCs w:val="22"/>
            </w:rPr>
          </w:pPr>
          <w:r w:rsidRPr="00AF2C48">
            <w:rPr>
              <w:rFonts w:ascii="Calibri" w:eastAsia="Times New Roman" w:hAnsi="Calibri" w:cs="Calibri"/>
              <w:szCs w:val="22"/>
            </w:rPr>
            <w:t xml:space="preserve">Salem, L. Ben, Nouira, R., Jeguirim, K., &amp; Rault, C. (2022). </w:t>
          </w:r>
          <w:r w:rsidRPr="00AF2C48">
            <w:rPr>
              <w:rFonts w:ascii="Calibri" w:eastAsia="Times New Roman" w:hAnsi="Calibri" w:cs="Calibri"/>
              <w:i/>
              <w:iCs/>
              <w:szCs w:val="22"/>
            </w:rPr>
            <w:t>The Determinants of Crude Oil Prices: Evidence from ARDL and Nonlinear ARDL Approaches</w:t>
          </w:r>
          <w:r w:rsidRPr="00AF2C48">
            <w:rPr>
              <w:rFonts w:ascii="Calibri" w:eastAsia="Times New Roman" w:hAnsi="Calibri" w:cs="Calibri"/>
              <w:szCs w:val="22"/>
            </w:rPr>
            <w:t>. www.RePEc.org</w:t>
          </w:r>
        </w:p>
        <w:p w14:paraId="1A3EF3BC" w14:textId="3856E628" w:rsidR="00AF2C48" w:rsidRPr="00AF2C48" w:rsidRDefault="00AF2C48" w:rsidP="009C4682">
          <w:pPr>
            <w:spacing w:before="0" w:after="160" w:line="278" w:lineRule="auto"/>
            <w:ind w:left="720" w:firstLine="414"/>
            <w:jc w:val="both"/>
            <w:rPr>
              <w:rFonts w:asciiTheme="minorHAnsi" w:eastAsiaTheme="minorHAnsi" w:hAnsiTheme="minorHAnsi" w:cstheme="minorBidi"/>
              <w:color w:val="auto"/>
              <w:szCs w:val="22"/>
              <w:lang w:eastAsia="en-US"/>
            </w:rPr>
          </w:pPr>
          <w:r w:rsidRPr="00AF2C48">
            <w:rPr>
              <w:rFonts w:ascii="Calibri" w:eastAsia="Times New Roman" w:hAnsi="Calibri" w:cs="Calibri"/>
              <w:szCs w:val="22"/>
            </w:rPr>
            <w:t> </w:t>
          </w:r>
        </w:p>
      </w:sdtContent>
    </w:sdt>
    <w:sectPr w:rsidR="00AF2C48" w:rsidRPr="00AF2C48">
      <w:pgSz w:w="12240" w:h="15840"/>
      <w:pgMar w:top="1440" w:right="1441" w:bottom="1459"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7327"/>
    <w:multiLevelType w:val="multilevel"/>
    <w:tmpl w:val="E33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B777B"/>
    <w:multiLevelType w:val="hybridMultilevel"/>
    <w:tmpl w:val="B3567E40"/>
    <w:lvl w:ilvl="0" w:tplc="EEE8F3E8">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C4483A">
      <w:start w:val="1"/>
      <w:numFmt w:val="bullet"/>
      <w:lvlText w:val="o"/>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C2613F0">
      <w:start w:val="1"/>
      <w:numFmt w:val="bullet"/>
      <w:lvlText w:val="▪"/>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18C794">
      <w:start w:val="1"/>
      <w:numFmt w:val="bullet"/>
      <w:lvlText w:val="•"/>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6E20A84">
      <w:start w:val="1"/>
      <w:numFmt w:val="bullet"/>
      <w:lvlText w:val="o"/>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7063FBC">
      <w:start w:val="1"/>
      <w:numFmt w:val="bullet"/>
      <w:lvlText w:val="▪"/>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B6F56C">
      <w:start w:val="1"/>
      <w:numFmt w:val="bullet"/>
      <w:lvlText w:val="•"/>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408AF4">
      <w:start w:val="1"/>
      <w:numFmt w:val="bullet"/>
      <w:lvlText w:val="o"/>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A88214">
      <w:start w:val="1"/>
      <w:numFmt w:val="bullet"/>
      <w:lvlText w:val="▪"/>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B3870CC"/>
    <w:multiLevelType w:val="hybridMultilevel"/>
    <w:tmpl w:val="41A6F0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682F2A7D"/>
    <w:multiLevelType w:val="hybridMultilevel"/>
    <w:tmpl w:val="84041BFE"/>
    <w:lvl w:ilvl="0" w:tplc="53AEB8C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E45BFA">
      <w:start w:val="1"/>
      <w:numFmt w:val="bullet"/>
      <w:lvlText w:val="o"/>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AC3F20">
      <w:start w:val="1"/>
      <w:numFmt w:val="bullet"/>
      <w:lvlText w:val="▪"/>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258E8A2">
      <w:start w:val="1"/>
      <w:numFmt w:val="bullet"/>
      <w:lvlText w:val="•"/>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3EDA0C">
      <w:start w:val="1"/>
      <w:numFmt w:val="bullet"/>
      <w:lvlText w:val="o"/>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FE6AFAE">
      <w:start w:val="1"/>
      <w:numFmt w:val="bullet"/>
      <w:lvlText w:val="▪"/>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2C22A4">
      <w:start w:val="1"/>
      <w:numFmt w:val="bullet"/>
      <w:lvlText w:val="•"/>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50954E">
      <w:start w:val="1"/>
      <w:numFmt w:val="bullet"/>
      <w:lvlText w:val="o"/>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3A4F40">
      <w:start w:val="1"/>
      <w:numFmt w:val="bullet"/>
      <w:lvlText w:val="▪"/>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4E953BC"/>
    <w:multiLevelType w:val="multilevel"/>
    <w:tmpl w:val="4F921F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78300942"/>
    <w:multiLevelType w:val="multilevel"/>
    <w:tmpl w:val="C0DA04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FBF0775"/>
    <w:multiLevelType w:val="hybridMultilevel"/>
    <w:tmpl w:val="6E2AB6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96318410">
    <w:abstractNumId w:val="1"/>
  </w:num>
  <w:num w:numId="2" w16cid:durableId="778138326">
    <w:abstractNumId w:val="3"/>
  </w:num>
  <w:num w:numId="3" w16cid:durableId="665519093">
    <w:abstractNumId w:val="0"/>
  </w:num>
  <w:num w:numId="4" w16cid:durableId="525942724">
    <w:abstractNumId w:val="5"/>
  </w:num>
  <w:num w:numId="5" w16cid:durableId="518082738">
    <w:abstractNumId w:val="6"/>
  </w:num>
  <w:num w:numId="6" w16cid:durableId="1205169006">
    <w:abstractNumId w:val="4"/>
  </w:num>
  <w:num w:numId="7" w16cid:durableId="417556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DC8"/>
    <w:rsid w:val="000E1DC8"/>
    <w:rsid w:val="0010527A"/>
    <w:rsid w:val="00797C4C"/>
    <w:rsid w:val="009841AB"/>
    <w:rsid w:val="009C4682"/>
    <w:rsid w:val="00AF2C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8E64A"/>
  <w15:docId w15:val="{A0B359E1-5872-4437-A79E-F1FB9A00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1" w:after="3" w:line="253" w:lineRule="auto"/>
      <w:ind w:left="10" w:hanging="10"/>
    </w:pPr>
    <w:rPr>
      <w:rFonts w:ascii="Courier New" w:eastAsia="Courier New" w:hAnsi="Courier New" w:cs="Courier New"/>
      <w:color w:val="000000"/>
      <w:sz w:val="22"/>
    </w:rPr>
  </w:style>
  <w:style w:type="paragraph" w:styleId="Heading1">
    <w:name w:val="heading 1"/>
    <w:next w:val="Normal"/>
    <w:link w:val="Heading1Char"/>
    <w:uiPriority w:val="9"/>
    <w:qFormat/>
    <w:pPr>
      <w:keepNext/>
      <w:keepLines/>
      <w:spacing w:after="0" w:line="265" w:lineRule="auto"/>
      <w:ind w:left="10" w:hanging="10"/>
      <w:outlineLvl w:val="0"/>
    </w:pPr>
    <w:rPr>
      <w:rFonts w:ascii="Calibri" w:eastAsia="Calibri" w:hAnsi="Calibri" w:cs="Calibri"/>
      <w:color w:val="000000"/>
      <w:sz w:val="36"/>
    </w:rPr>
  </w:style>
  <w:style w:type="paragraph" w:styleId="Heading2">
    <w:name w:val="heading 2"/>
    <w:basedOn w:val="Normal"/>
    <w:next w:val="Normal"/>
    <w:link w:val="Heading2Char"/>
    <w:uiPriority w:val="9"/>
    <w:semiHidden/>
    <w:unhideWhenUsed/>
    <w:qFormat/>
    <w:rsid w:val="00797C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97C4C"/>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97C4C"/>
    <w:rPr>
      <w:color w:val="0563C1" w:themeColor="hyperlink"/>
      <w:u w:val="single"/>
    </w:rPr>
  </w:style>
  <w:style w:type="character" w:styleId="UnresolvedMention">
    <w:name w:val="Unresolved Mention"/>
    <w:basedOn w:val="DefaultParagraphFont"/>
    <w:uiPriority w:val="99"/>
    <w:semiHidden/>
    <w:unhideWhenUsed/>
    <w:rsid w:val="00797C4C"/>
    <w:rPr>
      <w:color w:val="605E5C"/>
      <w:shd w:val="clear" w:color="auto" w:fill="E1DFDD"/>
    </w:rPr>
  </w:style>
  <w:style w:type="paragraph" w:styleId="ListParagraph">
    <w:name w:val="List Paragraph"/>
    <w:basedOn w:val="Normal"/>
    <w:uiPriority w:val="34"/>
    <w:qFormat/>
    <w:rsid w:val="0010527A"/>
    <w:pPr>
      <w:ind w:left="720"/>
      <w:contextualSpacing/>
    </w:pPr>
  </w:style>
  <w:style w:type="table" w:styleId="TableGrid0">
    <w:name w:val="Table Grid"/>
    <w:basedOn w:val="TableNormal"/>
    <w:uiPriority w:val="39"/>
    <w:rsid w:val="00105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F2C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08137">
      <w:marLeft w:val="480"/>
      <w:marRight w:val="0"/>
      <w:marTop w:val="0"/>
      <w:marBottom w:val="0"/>
      <w:divBdr>
        <w:top w:val="none" w:sz="0" w:space="0" w:color="auto"/>
        <w:left w:val="none" w:sz="0" w:space="0" w:color="auto"/>
        <w:bottom w:val="none" w:sz="0" w:space="0" w:color="auto"/>
        <w:right w:val="none" w:sz="0" w:space="0" w:color="auto"/>
      </w:divBdr>
    </w:div>
    <w:div w:id="750080917">
      <w:marLeft w:val="480"/>
      <w:marRight w:val="0"/>
      <w:marTop w:val="0"/>
      <w:marBottom w:val="0"/>
      <w:divBdr>
        <w:top w:val="none" w:sz="0" w:space="0" w:color="auto"/>
        <w:left w:val="none" w:sz="0" w:space="0" w:color="auto"/>
        <w:bottom w:val="none" w:sz="0" w:space="0" w:color="auto"/>
        <w:right w:val="none" w:sz="0" w:space="0" w:color="auto"/>
      </w:divBdr>
    </w:div>
    <w:div w:id="1656033945">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AH_MY2Nxg_2nLo5xAtsdsstFN3RjsUVG?usp=sharin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7BD348A-9FED-4CD2-B14A-628DF6B850A3}"/>
      </w:docPartPr>
      <w:docPartBody>
        <w:p w:rsidR="00000000" w:rsidRDefault="00E76A02">
          <w:r w:rsidRPr="005164B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02"/>
    <w:rsid w:val="003053A3"/>
    <w:rsid w:val="009841AB"/>
    <w:rsid w:val="00E76A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6A0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D7D508C-E2E3-4D69-904A-A29BFFAB70EC}">
  <we:reference id="wa200002866" version="1.0.1.0" store="en-US" storeType="OMEX"/>
  <we:alternateReferences>
    <we:reference id="WA200002866" version="1.0.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BA998ED-FA2A-49A2-9841-0BAB54E0CB83}">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073219410"/>
    <we:property name="MENDELEY_CITATIONS" value="[{&quot;citationID&quot;:&quot;MENDELEY_CITATION_8ae5feee-36c1-4ddc-959b-bf1d75cedf9b&quot;,&quot;properties&quot;:{&quot;noteIndex&quot;:0},&quot;isEdited&quot;:false,&quot;manualOverride&quot;:{&quot;isManuallyOverridden&quot;:false,&quot;citeprocText&quot;:&quot;(Salem et al., 2022)&quot;,&quot;manualOverrideText&quot;:&quot;&quot;},&quot;citationTag&quot;:&quot;MENDELEY_CITATION_v3_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&quot;,&quot;citationItems&quot;:[{&quot;id&quot;:&quot;dabd492a-b8bb-30ba-af5f-b52b6904c52b&quot;,&quot;itemData&quot;:{&quot;type&quot;:&quot;report&quot;,&quot;id&quot;:&quot;dabd492a-b8bb-30ba-af5f-b52b6904c52b&quot;,&quot;title&quot;:&quot;The Determinants of Crude Oil Prices: Evidence from ARDL and Nonlinear ARDL Approaches&quot;,&quot;author&quot;:[{&quot;family&quot;:&quot;Salem&quot;,&quot;given&quot;:&quot;Leila&quot;,&quot;parse-names&quot;:false,&quot;dropping-particle&quot;:&quot;Ben&quot;,&quot;non-dropping-particle&quot;:&quot;&quot;},{&quot;family&quot;:&quot;Nouira&quot;,&quot;given&quot;:&quot;Ridha&quot;,&quot;parse-names&quot;:false,&quot;dropping-particle&quot;:&quot;&quot;,&quot;non-dropping-particle&quot;:&quot;&quot;},{&quot;family&quot;:&quot;Jeguirim&quot;,&quot;given&quot;:&quot;Khaled&quot;,&quot;parse-names&quot;:false,&quot;dropping-particle&quot;:&quot;&quot;,&quot;non-dropping-particle&quot;:&quot;&quot;},{&quot;family&quot;:&quot;Rault&quot;,&quot;given&quot;:&quot;Christophe&quot;,&quot;parse-names&quot;:false,&quot;dropping-particle&quot;:&quot;&quot;,&quot;non-dropping-particle&quot;:&quot;&quot;}],&quot;URL&quot;:&quot;www.RePEc.org&quot;,&quot;issued&quot;:{&quot;date-parts&quot;:[[2022]]},&quot;container-title-short&quot;:&quot;&quot;},&quot;isTemporary&quot;:false,&quot;suppress-author&quot;:false,&quot;composite&quot;:false,&quot;author-only&quot;:false}]},{&quot;citationID&quot;:&quot;MENDELEY_CITATION_71c7cb63-9287-4fb3-950b-0d0b2d2baf69&quot;,&quot;properties&quot;:{&quot;noteIndex&quot;:0},&quot;isEdited&quot;:false,&quot;manualOverride&quot;:{&quot;isManuallyOverridden&quot;:false,&quot;citeprocText&quot;:&quot;(Le et al., 2024)&quot;,&quot;manualOverrideText&quot;:&quot;&quot;},&quot;citationTag&quot;:&quot;MENDELEY_CITATION_v3_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&quot;,&quot;citationItems&quot;:[{&quot;id&quot;:&quot;96865c7e-556a-30fa-9c00-f10ebce94dcb&quot;,&quot;itemData&quot;:{&quot;type&quot;:&quot;article-journal&quot;,&quot;id&quot;:&quot;96865c7e-556a-30fa-9c00-f10ebce94dcb&quot;,&quot;title&quot;:&quot;Investigating factors influencing oil volatility: a GARCH-MIDAS model analysis&quot;,&quot;author&quot;:[{&quot;family&quot;:&quot;Le&quot;,&quot;given&quot;:&quot;Yiyi&quot;,&quot;parse-names&quot;:false,&quot;dropping-particle&quot;:&quot;&quot;,&quot;non-dropping-particle&quot;:&quot;&quot;},{&quot;family&quot;:&quot;Wen&quot;,&quot;given&quot;:&quot;Jing&quot;,&quot;parse-names&quot;:false,&quot;dropping-particle&quot;:&quot;&quot;,&quot;non-dropping-particle&quot;:&quot;&quot;},{&quot;family&quot;:&quot;Wu&quot;,&quot;given&quot;:&quot;Yuchen&quot;,&quot;parse-names&quot;:false,&quot;dropping-particle&quot;:&quot;&quot;,&quot;non-dropping-particle&quot;:&quot;&quot;},{&quot;family&quot;:&quot;Liu&quot;,&quot;given&quot;:&quot;Jia&quot;,&quot;parse-names&quot;:false,&quot;dropping-particle&quot;:&quot;&quot;,&quot;non-dropping-particle&quot;:&quot;&quot;},{&quot;family&quot;:&quot;Zhu&quot;,&quot;given&quot;:&quot;Yuchen&quot;,&quot;parse-names&quot;:false,&quot;dropping-particle&quot;:&quot;&quot;,&quot;non-dropping-particle&quot;:&quot;&quot;}],&quot;container-title&quot;:&quot;Frontiers in Energy Research&quot;,&quot;container-title-short&quot;:&quot;Front. Energy Res.&quot;,&quot;DOI&quot;:&quot;10.3389/fenrg.2024.1392905&quot;,&quot;ISSN&quot;:&quot;2296598X&quot;,&quot;issued&quot;:{&quot;date-parts&quot;:[[2024]]},&quot;abstract&quot;:&quot;This study explores the main factors influencing international oil price fluctuations, selecting five influential variables: the consumer price index (CPI), industrial production index (IPI), global rig count (ADU), economic policy uncertainty index (EPU), and geopolitical risk index (GRI) based on previous literature. Employing the GARCH-MIDAS model, this research analyzes comparative effects on WTI international oil prices. Our findings highlight the varying degrees of influence, with IPI showing a stronger impact and EPU indicating broader economic implications. The GRI index responds primarily to specific geopolitical events with delayed fluctuations. Our study’s novelty lies in the empirical investigation using the GARCH-MIDAS model, offering valuable insights for policymakers to manage oil price volatility effectively, particularly by addressing economic policy uncertainty as a critical factor.&quot;,&quot;publisher&quot;:&quot;Frontiers Media SA&quot;,&quot;volume&quot;:&quot;12&quot;},&quot;isTemporary&quot;:false,&quot;suppress-author&quot;:false,&quot;composite&quot;:false,&quot;author-only&quot;:false}]},{&quot;citationID&quot;:&quot;MENDELEY_CITATION_587c4ded-754c-43de-acfe-a8b5ba1c4944&quot;,&quot;properties&quot;:{&quot;noteIndex&quot;:0},&quot;isEdited&quot;:false,&quot;manualOverride&quot;:{&quot;isManuallyOverridden&quot;:false,&quot;citeprocText&quot;:&quot;(Kondoz et al., 2019)&quot;,&quot;manualOverrideText&quot;:&quot;&quot;},&quot;citationTag&quot;:&quot;MENDELEY_CITATION_v3_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&quot;,&quot;citationItems&quot;:[{&quot;id&quot;:&quot;515dee1f-19d0-3d31-8a7d-c778077f1b08&quot;,&quot;itemData&quot;:{&quot;type&quot;:&quot;article-journal&quot;,&quot;id&quot;:&quot;515dee1f-19d0-3d31-8a7d-c778077f1b08&quot;,&quot;title&quot;:&quot;Testing the volatility spillover between crude oil price and the U.S. stock market returns&quot;,&quot;author&quot;:[{&quot;family&quot;:&quot;Kondoz&quot;,&quot;given&quot;:&quot;Mehmet&quot;,&quot;parse-names&quot;:false,&quot;dropping-particle&quot;:&quot;&quot;,&quot;non-dropping-particle&quot;:&quot;&quot;},{&quot;family&quot;:&quot;Bora&quot;,&quot;given&quot;:&quot;Ilhan&quot;,&quot;parse-names&quot;:false,&quot;dropping-particle&quot;:&quot;&quot;,&quot;non-dropping-particle&quot;:&quot;&quot;},{&quot;family&quot;:&quot;Kirikkaleli&quot;,&quot;given&quot;:&quot;Dervis&quot;,&quot;parse-names&quot;:false,&quot;dropping-particle&quot;:&quot;&quot;,&quot;non-dropping-particle&quot;:&quot;&quot;},{&quot;family&quot;:&quot;Athari&quot;,&quot;given&quot;:&quot;Seyed Alireza&quot;,&quot;parse-names&quot;:false,&quot;dropping-particle&quot;:&quot;&quot;,&quot;non-dropping-particle&quot;:&quot;&quot;}],&quot;container-title&quot;:&quot;Management Science Letters&quot;,&quot;DOI&quot;:&quot;10.5267/j.msl.2019.4.019&quot;,&quot;ISSN&quot;:&quot;19239343&quot;,&quot;issued&quot;:{&quot;date-parts&quot;:[[2019]]},&quot;page&quot;:&quot;1221-1230&quot;,&quot;abstract&quot;:&quot;The study aims to examine the volatility transmission between the West Texas Intermediate (WTI) crude oil price returns and the U.S. stock market (S&amp;P500 index) returns for the period 2006-2016. In the empirical analyses, univariate GARCH and multivariate GARCH (BEKK-GARCH) models are employed to investigate potential volatility spillover effect of crude oil price returns on the S&amp;P500 index returns or vice versa. The results of GARCH methods reveal that (i) volatility spillover effect of S&amp;P500 index returns on the crude oil returns is more significant than the volatility spillover effect of crude oil on the S&amp;P500 index returns by using univariate GARCH model; and (ii) there is a one way volatility spillover effect that runs from S&amp;P500 index returns to crude oil returns when we apply multivariate BEKK-GARCH model. These findings have implications for investors and oil-stock portfolio holders for their portfolio decisions in order to manage their risks on their international investments. Further, crude oil investment participants should consider the changes in U.S. stock market index returns in order to predict the expected volatility in the crude oil returns.&quot;,&quot;publisher&quot;:&quot;Growing Science&quot;,&quot;issue&quot;:&quot;8&quot;,&quot;volume&quot;:&quot;9&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44995-DCCD-415B-A1D8-52F812D7E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945</Words>
  <Characters>5392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kharis</dc:creator>
  <cp:keywords/>
  <cp:lastModifiedBy>abdul kharis</cp:lastModifiedBy>
  <cp:revision>2</cp:revision>
  <dcterms:created xsi:type="dcterms:W3CDTF">2026-05-18T03:06:00Z</dcterms:created>
  <dcterms:modified xsi:type="dcterms:W3CDTF">2026-05-18T03:06:00Z</dcterms:modified>
</cp:coreProperties>
</file>