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DF24F" w14:textId="35E391CB" w:rsidR="00797C4C" w:rsidRPr="0033742D" w:rsidRDefault="00797C4C" w:rsidP="00AF2C48">
      <w:pPr>
        <w:jc w:val="center"/>
        <w:rPr>
          <w:rFonts w:ascii="Times New Roman" w:hAnsi="Times New Roman" w:cs="Times New Roman"/>
          <w:szCs w:val="22"/>
        </w:rPr>
      </w:pPr>
      <w:r w:rsidRPr="0033742D">
        <w:rPr>
          <w:rFonts w:ascii="Segoe UI Emoji" w:hAnsi="Segoe UI Emoji" w:cs="Segoe UI Emoji"/>
          <w:szCs w:val="22"/>
        </w:rPr>
        <w:t>🛢️</w:t>
      </w:r>
      <w:r w:rsidRPr="0033742D">
        <w:rPr>
          <w:rFonts w:ascii="Times New Roman" w:hAnsi="Times New Roman" w:cs="Times New Roman"/>
          <w:szCs w:val="22"/>
        </w:rPr>
        <w:t xml:space="preserve"> Prediksi Harga Minyak Mentah WTI Menggunakan LSTM</w:t>
      </w:r>
      <w:r w:rsidR="00AF2C48" w:rsidRPr="0033742D">
        <w:rPr>
          <w:rFonts w:ascii="Times New Roman" w:hAnsi="Times New Roman" w:cs="Times New Roman"/>
          <w:szCs w:val="22"/>
        </w:rPr>
        <w:t xml:space="preserve"> </w:t>
      </w:r>
      <w:r w:rsidRPr="0033742D">
        <w:rPr>
          <w:rFonts w:ascii="Times New Roman" w:hAnsi="Times New Roman" w:cs="Times New Roman"/>
          <w:szCs w:val="22"/>
        </w:rPr>
        <w:t>Time Series Forecasting</w:t>
      </w:r>
    </w:p>
    <w:p w14:paraId="63387FAD" w14:textId="77777777" w:rsidR="00AF2C48" w:rsidRPr="0033742D" w:rsidRDefault="00AF2C48" w:rsidP="00AF2C48">
      <w:pPr>
        <w:jc w:val="center"/>
        <w:rPr>
          <w:rFonts w:ascii="Times New Roman" w:hAnsi="Times New Roman" w:cs="Times New Roman"/>
          <w:szCs w:val="22"/>
        </w:rPr>
      </w:pPr>
    </w:p>
    <w:tbl>
      <w:tblPr>
        <w:tblStyle w:val="TableGrid"/>
        <w:tblW w:w="0" w:type="auto"/>
        <w:tblInd w:w="8" w:type="dxa"/>
        <w:tblLook w:val="04A0" w:firstRow="1" w:lastRow="0" w:firstColumn="1" w:lastColumn="0" w:noHBand="0" w:noVBand="1"/>
      </w:tblPr>
      <w:tblGrid>
        <w:gridCol w:w="418"/>
        <w:gridCol w:w="4252"/>
        <w:gridCol w:w="1321"/>
      </w:tblGrid>
      <w:tr w:rsidR="00797C4C" w:rsidRPr="0033742D" w14:paraId="2A8322EF" w14:textId="77777777" w:rsidTr="00797C4C">
        <w:tc>
          <w:tcPr>
            <w:tcW w:w="418" w:type="dxa"/>
            <w:hideMark/>
          </w:tcPr>
          <w:p w14:paraId="63659B83" w14:textId="77777777"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No</w:t>
            </w:r>
          </w:p>
        </w:tc>
        <w:tc>
          <w:tcPr>
            <w:tcW w:w="4252" w:type="dxa"/>
            <w:hideMark/>
          </w:tcPr>
          <w:p w14:paraId="4C0BD01F" w14:textId="77777777"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Nama</w:t>
            </w:r>
          </w:p>
        </w:tc>
        <w:tc>
          <w:tcPr>
            <w:tcW w:w="1321" w:type="dxa"/>
            <w:hideMark/>
          </w:tcPr>
          <w:p w14:paraId="7C3C25CD" w14:textId="77777777"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NIM</w:t>
            </w:r>
          </w:p>
        </w:tc>
      </w:tr>
      <w:tr w:rsidR="00797C4C" w:rsidRPr="0033742D" w14:paraId="0E0E88EF" w14:textId="77777777" w:rsidTr="00797C4C">
        <w:tc>
          <w:tcPr>
            <w:tcW w:w="418" w:type="dxa"/>
            <w:hideMark/>
          </w:tcPr>
          <w:p w14:paraId="03DFEF3D" w14:textId="77777777"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1</w:t>
            </w:r>
          </w:p>
        </w:tc>
        <w:tc>
          <w:tcPr>
            <w:tcW w:w="4252" w:type="dxa"/>
            <w:hideMark/>
          </w:tcPr>
          <w:p w14:paraId="40E9A46B" w14:textId="0F863AE3"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 xml:space="preserve">Abdul Kharis </w:t>
            </w:r>
          </w:p>
        </w:tc>
        <w:tc>
          <w:tcPr>
            <w:tcW w:w="1321" w:type="dxa"/>
            <w:hideMark/>
          </w:tcPr>
          <w:p w14:paraId="5E556B9F" w14:textId="0454987D"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2388010004</w:t>
            </w:r>
          </w:p>
        </w:tc>
      </w:tr>
      <w:tr w:rsidR="00797C4C" w:rsidRPr="0033742D" w14:paraId="003DD559" w14:textId="77777777" w:rsidTr="00797C4C">
        <w:tc>
          <w:tcPr>
            <w:tcW w:w="418" w:type="dxa"/>
            <w:hideMark/>
          </w:tcPr>
          <w:p w14:paraId="5EA7E7F4" w14:textId="77777777"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2</w:t>
            </w:r>
          </w:p>
        </w:tc>
        <w:tc>
          <w:tcPr>
            <w:tcW w:w="4252" w:type="dxa"/>
            <w:hideMark/>
          </w:tcPr>
          <w:p w14:paraId="6A7A5F25" w14:textId="27D0C79B"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Siti Malikha</w:t>
            </w:r>
          </w:p>
        </w:tc>
        <w:tc>
          <w:tcPr>
            <w:tcW w:w="1321" w:type="dxa"/>
            <w:hideMark/>
          </w:tcPr>
          <w:p w14:paraId="73A0F0AB" w14:textId="7FCD5C23"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2388010001</w:t>
            </w:r>
          </w:p>
        </w:tc>
      </w:tr>
      <w:tr w:rsidR="00797C4C" w:rsidRPr="0033742D" w14:paraId="7255ACC1" w14:textId="77777777" w:rsidTr="00797C4C">
        <w:tc>
          <w:tcPr>
            <w:tcW w:w="418" w:type="dxa"/>
            <w:hideMark/>
          </w:tcPr>
          <w:p w14:paraId="5F2E694F" w14:textId="77777777"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3</w:t>
            </w:r>
          </w:p>
        </w:tc>
        <w:tc>
          <w:tcPr>
            <w:tcW w:w="4252" w:type="dxa"/>
            <w:hideMark/>
          </w:tcPr>
          <w:p w14:paraId="128ADB76" w14:textId="52678832"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Muhammad Cevi Maulana Ramadhan</w:t>
            </w:r>
          </w:p>
        </w:tc>
        <w:tc>
          <w:tcPr>
            <w:tcW w:w="1321" w:type="dxa"/>
            <w:hideMark/>
          </w:tcPr>
          <w:p w14:paraId="741204F9" w14:textId="47F43CCD"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2388010042</w:t>
            </w:r>
          </w:p>
        </w:tc>
      </w:tr>
      <w:tr w:rsidR="00797C4C" w:rsidRPr="0033742D" w14:paraId="67F3E6D9" w14:textId="77777777" w:rsidTr="00797C4C">
        <w:tc>
          <w:tcPr>
            <w:tcW w:w="418" w:type="dxa"/>
            <w:hideMark/>
          </w:tcPr>
          <w:p w14:paraId="5BD16252" w14:textId="77777777"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4</w:t>
            </w:r>
          </w:p>
        </w:tc>
        <w:tc>
          <w:tcPr>
            <w:tcW w:w="4252" w:type="dxa"/>
            <w:hideMark/>
          </w:tcPr>
          <w:p w14:paraId="0AB5C786" w14:textId="5B1F7477"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Muhammad Devani Alghifari</w:t>
            </w:r>
          </w:p>
        </w:tc>
        <w:tc>
          <w:tcPr>
            <w:tcW w:w="1321" w:type="dxa"/>
            <w:hideMark/>
          </w:tcPr>
          <w:p w14:paraId="7AB40A16" w14:textId="47E56F86" w:rsidR="00797C4C" w:rsidRPr="0033742D" w:rsidRDefault="00797C4C" w:rsidP="00797C4C">
            <w:pPr>
              <w:rPr>
                <w:rFonts w:ascii="Times New Roman" w:hAnsi="Times New Roman" w:cs="Times New Roman"/>
                <w:sz w:val="20"/>
                <w:szCs w:val="20"/>
              </w:rPr>
            </w:pPr>
            <w:r w:rsidRPr="0033742D">
              <w:rPr>
                <w:rFonts w:ascii="Times New Roman" w:hAnsi="Times New Roman" w:cs="Times New Roman"/>
                <w:sz w:val="20"/>
                <w:szCs w:val="20"/>
              </w:rPr>
              <w:t xml:space="preserve">2388010048 </w:t>
            </w:r>
          </w:p>
        </w:tc>
      </w:tr>
    </w:tbl>
    <w:p w14:paraId="48F9A7BB" w14:textId="77777777" w:rsidR="00797C4C" w:rsidRPr="0033742D" w:rsidRDefault="00797C4C" w:rsidP="00797C4C">
      <w:pPr>
        <w:rPr>
          <w:rFonts w:ascii="Times New Roman" w:hAnsi="Times New Roman" w:cs="Times New Roman"/>
          <w:sz w:val="18"/>
          <w:szCs w:val="18"/>
        </w:rPr>
      </w:pPr>
    </w:p>
    <w:p w14:paraId="42693D33" w14:textId="77777777" w:rsidR="00797C4C" w:rsidRPr="0033742D" w:rsidRDefault="00797C4C" w:rsidP="00797C4C">
      <w:pPr>
        <w:rPr>
          <w:rFonts w:ascii="Times New Roman" w:hAnsi="Times New Roman" w:cs="Times New Roman"/>
          <w:sz w:val="18"/>
          <w:szCs w:val="18"/>
        </w:rPr>
      </w:pPr>
      <w:r w:rsidRPr="0033742D">
        <w:rPr>
          <w:rFonts w:ascii="Times New Roman" w:hAnsi="Times New Roman" w:cs="Times New Roman"/>
          <w:sz w:val="18"/>
          <w:szCs w:val="18"/>
        </w:rPr>
        <w:t>Program Studi:  Informatika   </w:t>
      </w:r>
    </w:p>
    <w:p w14:paraId="3DE37DDC" w14:textId="77777777" w:rsidR="0010527A" w:rsidRPr="0033742D" w:rsidRDefault="00797C4C" w:rsidP="00797C4C">
      <w:pPr>
        <w:rPr>
          <w:rFonts w:ascii="Times New Roman" w:hAnsi="Times New Roman" w:cs="Times New Roman"/>
          <w:sz w:val="18"/>
          <w:szCs w:val="18"/>
        </w:rPr>
      </w:pPr>
      <w:r w:rsidRPr="0033742D">
        <w:rPr>
          <w:rFonts w:ascii="Times New Roman" w:hAnsi="Times New Roman" w:cs="Times New Roman"/>
          <w:sz w:val="18"/>
          <w:szCs w:val="18"/>
        </w:rPr>
        <w:t>Universitas: UIN Siber Syekh Nurjati Cirebon   </w:t>
      </w:r>
    </w:p>
    <w:p w14:paraId="4332AA62" w14:textId="53FD77A3" w:rsidR="00797C4C" w:rsidRPr="0033742D" w:rsidRDefault="00797C4C" w:rsidP="00797C4C">
      <w:pPr>
        <w:rPr>
          <w:rFonts w:ascii="Times New Roman" w:hAnsi="Times New Roman" w:cs="Times New Roman"/>
          <w:sz w:val="18"/>
          <w:szCs w:val="18"/>
        </w:rPr>
      </w:pPr>
      <w:r w:rsidRPr="0033742D">
        <w:rPr>
          <w:rFonts w:ascii="Times New Roman" w:hAnsi="Times New Roman" w:cs="Times New Roman"/>
          <w:sz w:val="18"/>
          <w:szCs w:val="18"/>
        </w:rPr>
        <w:t>Mata Kuliah: Deep Learning   </w:t>
      </w:r>
    </w:p>
    <w:p w14:paraId="0591D2B9" w14:textId="218C0F1B" w:rsidR="00797C4C" w:rsidRPr="0033742D" w:rsidRDefault="00797C4C" w:rsidP="00AF2C48">
      <w:pPr>
        <w:rPr>
          <w:rFonts w:ascii="Times New Roman" w:hAnsi="Times New Roman" w:cs="Times New Roman"/>
          <w:sz w:val="18"/>
          <w:szCs w:val="18"/>
        </w:rPr>
      </w:pPr>
      <w:r w:rsidRPr="0033742D">
        <w:rPr>
          <w:rFonts w:ascii="Times New Roman" w:hAnsi="Times New Roman" w:cs="Times New Roman"/>
          <w:sz w:val="18"/>
          <w:szCs w:val="18"/>
        </w:rPr>
        <w:t>link Google Colab </w:t>
      </w:r>
      <w:r w:rsidR="00AF2C48" w:rsidRPr="0033742D">
        <w:rPr>
          <w:rFonts w:ascii="Times New Roman" w:hAnsi="Times New Roman" w:cs="Times New Roman"/>
          <w:sz w:val="18"/>
          <w:szCs w:val="18"/>
        </w:rPr>
        <w:t xml:space="preserve">: </w:t>
      </w:r>
      <w:hyperlink r:id="rId8" w:history="1">
        <w:r w:rsidR="00AF2C48" w:rsidRPr="0033742D">
          <w:rPr>
            <w:rStyle w:val="Hyperlink"/>
            <w:rFonts w:ascii="Times New Roman" w:hAnsi="Times New Roman" w:cs="Times New Roman"/>
            <w:sz w:val="18"/>
            <w:szCs w:val="18"/>
          </w:rPr>
          <w:t>https://colab.research.google.com/drive/1AH_MY2Nxg_2nLo5xAtsdsstFN3RjsUVG?usp=sharing</w:t>
        </w:r>
      </w:hyperlink>
    </w:p>
    <w:p w14:paraId="464DA899" w14:textId="0600733F" w:rsidR="00797C4C" w:rsidRPr="0033742D" w:rsidRDefault="00797C4C" w:rsidP="0010527A">
      <w:pPr>
        <w:ind w:left="0" w:firstLine="0"/>
        <w:rPr>
          <w:rFonts w:ascii="Times New Roman" w:hAnsi="Times New Roman" w:cs="Times New Roman"/>
          <w:szCs w:val="22"/>
        </w:rPr>
      </w:pPr>
    </w:p>
    <w:p w14:paraId="544080A5" w14:textId="546E1C98" w:rsidR="002225F6" w:rsidRDefault="00797C4C" w:rsidP="002225F6">
      <w:pPr>
        <w:pStyle w:val="ListParagraph"/>
        <w:numPr>
          <w:ilvl w:val="0"/>
          <w:numId w:val="15"/>
        </w:numPr>
        <w:spacing w:before="0" w:after="160" w:line="278" w:lineRule="auto"/>
        <w:jc w:val="center"/>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MILESTONE 1 — Proposal Kasus &amp; Dataset Scraping</w:t>
      </w:r>
    </w:p>
    <w:p w14:paraId="3A1AA937" w14:textId="77777777" w:rsidR="002225F6" w:rsidRPr="002225F6" w:rsidRDefault="002225F6" w:rsidP="002225F6">
      <w:pPr>
        <w:spacing w:before="0" w:after="160" w:line="278" w:lineRule="auto"/>
        <w:ind w:left="0" w:firstLine="0"/>
        <w:rPr>
          <w:rFonts w:ascii="Times New Roman" w:eastAsiaTheme="minorHAnsi" w:hAnsi="Times New Roman" w:cs="Times New Roman"/>
          <w:color w:val="auto"/>
          <w:szCs w:val="22"/>
          <w:lang w:eastAsia="en-US"/>
        </w:rPr>
      </w:pPr>
    </w:p>
    <w:p w14:paraId="24936BD5" w14:textId="3CEF3217" w:rsidR="00797C4C" w:rsidRPr="0033742D" w:rsidRDefault="00797C4C" w:rsidP="0010527A">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Kasus yang Dipilih</w:t>
      </w:r>
    </w:p>
    <w:p w14:paraId="1F124EBD" w14:textId="2A3C1E25" w:rsidR="0010527A" w:rsidRPr="0033742D" w:rsidRDefault="00797C4C" w:rsidP="0010527A">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Judul Kasus: Prediksi Harga Penutupan Minyak Mentah CL=F / WTI (West Texas Intermediate) Berbasis Pendekatan Multivariat Deep Learning.</w:t>
      </w:r>
    </w:p>
    <w:p w14:paraId="0188B334" w14:textId="36AD1CF1" w:rsidR="00797C4C" w:rsidRPr="0033742D" w:rsidRDefault="00797C4C" w:rsidP="0010527A">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Alasan Pemilihan Kasus</w:t>
      </w:r>
    </w:p>
    <w:p w14:paraId="744F769A" w14:textId="3F9CF8F4" w:rsidR="00797C4C" w:rsidRPr="0033742D" w:rsidRDefault="00797C4C" w:rsidP="0010527A">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 xml:space="preserve">Harga minyak mentah merupakan salah satu variabel ekonomi yang paling berpengaruh di dunia. Fluktuasi harga minyak berdampak langsung pada inflasi, nilai tukar, pasar saham, dan pertumbuhan ekonomi global. Jurnal "The Determinants of Crude Oil Prices: Evidence from ARDL and Nonlinear ARDL Approaches" (CESifo Working Paper No. 10050) </w:t>
      </w:r>
      <w:sdt>
        <w:sdtPr>
          <w:rPr>
            <w:rFonts w:ascii="Times New Roman" w:eastAsiaTheme="minorHAnsi" w:hAnsi="Times New Roman" w:cs="Times New Roman"/>
            <w:szCs w:val="22"/>
            <w:lang w:eastAsia="en-US"/>
          </w:rPr>
          <w:tag w:val="MENDELEY_CITATION_v3_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"/>
          <w:id w:val="-13004358"/>
          <w:placeholder>
            <w:docPart w:val="DefaultPlaceholder_-1854013440"/>
          </w:placeholder>
        </w:sdtPr>
        <w:sdtContent>
          <w:r w:rsidR="00AF2C48" w:rsidRPr="0033742D">
            <w:rPr>
              <w:rFonts w:ascii="Times New Roman" w:eastAsiaTheme="minorHAnsi" w:hAnsi="Times New Roman" w:cs="Times New Roman"/>
              <w:szCs w:val="22"/>
              <w:lang w:eastAsia="en-US"/>
            </w:rPr>
            <w:t>(Salem et al., 2022)</w:t>
          </w:r>
        </w:sdtContent>
      </w:sdt>
      <w:r w:rsidR="00AF2C48" w:rsidRPr="0033742D">
        <w:rPr>
          <w:rFonts w:ascii="Times New Roman" w:eastAsiaTheme="minorHAnsi" w:hAnsi="Times New Roman" w:cs="Times New Roman"/>
          <w:color w:val="auto"/>
          <w:szCs w:val="22"/>
          <w:lang w:eastAsia="en-US"/>
        </w:rPr>
        <w:t xml:space="preserve"> </w:t>
      </w:r>
      <w:r w:rsidRPr="0033742D">
        <w:rPr>
          <w:rFonts w:ascii="Times New Roman" w:eastAsiaTheme="minorHAnsi" w:hAnsi="Times New Roman" w:cs="Times New Roman"/>
          <w:color w:val="auto"/>
          <w:szCs w:val="22"/>
          <w:lang w:eastAsia="en-US"/>
        </w:rPr>
        <w:t>membuktikan secara empiris bahwa harga minyak dipengaruhi oleh berbagai variabel makroekonomi seperti harga emas, indeks dolar AS, harga futures minyak, serta kebijakan ketidakpastian ekonomi (EPU), baik dalam jangka pendek maupun jangka panjang. Hal ini menjadikan masalah prediksi harga minyak sangat kompleks dan sesuai untuk didekati dengan model deep learning berbasis data runtun waktu multivariat.</w:t>
      </w:r>
    </w:p>
    <w:p w14:paraId="2785F24D" w14:textId="14A9B33C" w:rsidR="00797C4C" w:rsidRPr="0033742D" w:rsidRDefault="00797C4C" w:rsidP="0010527A">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Selain itu, jurnal "Investigating Factors Influencing Oil Volatility: A GARCH-MIDAS Model Analysis" (Frontiers in Energy Research, 2024)</w:t>
      </w:r>
      <w:r w:rsidR="00AF2C48" w:rsidRPr="0033742D">
        <w:rPr>
          <w:rFonts w:ascii="Times New Roman" w:eastAsiaTheme="minorHAnsi" w:hAnsi="Times New Roman" w:cs="Times New Roman"/>
          <w:color w:val="auto"/>
          <w:szCs w:val="22"/>
          <w:lang w:eastAsia="en-US"/>
        </w:rPr>
        <w:t xml:space="preserve"> </w:t>
      </w:r>
      <w:sdt>
        <w:sdtPr>
          <w:rPr>
            <w:rFonts w:ascii="Times New Roman" w:eastAsiaTheme="minorHAnsi" w:hAnsi="Times New Roman" w:cs="Times New Roman"/>
            <w:szCs w:val="22"/>
            <w:lang w:eastAsia="en-US"/>
          </w:rPr>
          <w:tag w:val="MENDELEY_CITATION_v3_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"/>
          <w:id w:val="1946115633"/>
          <w:placeholder>
            <w:docPart w:val="DefaultPlaceholder_-1854013440"/>
          </w:placeholder>
        </w:sdtPr>
        <w:sdtContent>
          <w:r w:rsidR="00AF2C48" w:rsidRPr="0033742D">
            <w:rPr>
              <w:rFonts w:ascii="Times New Roman" w:eastAsiaTheme="minorHAnsi" w:hAnsi="Times New Roman" w:cs="Times New Roman"/>
              <w:szCs w:val="22"/>
              <w:lang w:eastAsia="en-US"/>
            </w:rPr>
            <w:t>(Le et al., 2024)</w:t>
          </w:r>
        </w:sdtContent>
      </w:sdt>
      <w:r w:rsidRPr="0033742D">
        <w:rPr>
          <w:rFonts w:ascii="Times New Roman" w:eastAsiaTheme="minorHAnsi" w:hAnsi="Times New Roman" w:cs="Times New Roman"/>
          <w:color w:val="auto"/>
          <w:szCs w:val="22"/>
          <w:lang w:eastAsia="en-US"/>
        </w:rPr>
        <w:t xml:space="preserve"> mengidentifikasi bahwa volatilitas harga minyak dipengaruhi oleh indeks produksi industri (IPI), ketidakpastian kebijakan ekonomi (GEPU), jumlah rig pengeboran global (ADU), serta risiko geopolitik (GPR). Faktor-faktor ini saling berkaitan dan membentuk pola dependensi temporal yang kuat, sehingga model sekuensial seperti LSTM sangat relevan untuk digunakan.</w:t>
      </w:r>
    </w:p>
    <w:p w14:paraId="58AD38D5" w14:textId="552D1181" w:rsidR="00797C4C" w:rsidRPr="0033742D" w:rsidRDefault="00797C4C" w:rsidP="0010527A">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Jurnal ketiga, "Testing the Volatility Spillover between Crude Oil Price and the U.S. Stock Market Returns" (Management Science Letters, 2019)</w:t>
      </w:r>
      <w:r w:rsidR="00AF2C48" w:rsidRPr="0033742D">
        <w:rPr>
          <w:rFonts w:ascii="Times New Roman" w:eastAsiaTheme="minorHAnsi" w:hAnsi="Times New Roman" w:cs="Times New Roman"/>
          <w:color w:val="auto"/>
          <w:szCs w:val="22"/>
          <w:lang w:eastAsia="en-US"/>
        </w:rPr>
        <w:t xml:space="preserve"> </w:t>
      </w:r>
      <w:sdt>
        <w:sdtPr>
          <w:rPr>
            <w:rFonts w:ascii="Times New Roman" w:eastAsiaTheme="minorHAnsi" w:hAnsi="Times New Roman" w:cs="Times New Roman"/>
            <w:szCs w:val="22"/>
            <w:lang w:eastAsia="en-US"/>
          </w:rPr>
          <w:tag w:val="MENDELEY_CITATION_v3_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"/>
          <w:id w:val="-840156148"/>
          <w:placeholder>
            <w:docPart w:val="DefaultPlaceholder_-1854013440"/>
          </w:placeholder>
        </w:sdtPr>
        <w:sdtContent>
          <w:r w:rsidR="00AF2C48" w:rsidRPr="0033742D">
            <w:rPr>
              <w:rFonts w:ascii="Times New Roman" w:eastAsiaTheme="minorHAnsi" w:hAnsi="Times New Roman" w:cs="Times New Roman"/>
              <w:szCs w:val="22"/>
              <w:lang w:eastAsia="en-US"/>
            </w:rPr>
            <w:t>(Kondoz et al., 2019)</w:t>
          </w:r>
        </w:sdtContent>
      </w:sdt>
      <w:r w:rsidRPr="0033742D">
        <w:rPr>
          <w:rFonts w:ascii="Times New Roman" w:eastAsiaTheme="minorHAnsi" w:hAnsi="Times New Roman" w:cs="Times New Roman"/>
          <w:color w:val="auto"/>
          <w:szCs w:val="22"/>
          <w:lang w:eastAsia="en-US"/>
        </w:rPr>
        <w:t xml:space="preserve">, menunjukkan adanya transmisi volatilitas satu arah dari indeks S&amp;P500 ke harga minyak WTI menggunakan model </w:t>
      </w:r>
      <w:r w:rsidRPr="0033742D">
        <w:rPr>
          <w:rFonts w:ascii="Times New Roman" w:eastAsiaTheme="minorHAnsi" w:hAnsi="Times New Roman" w:cs="Times New Roman"/>
          <w:color w:val="auto"/>
          <w:szCs w:val="22"/>
          <w:lang w:eastAsia="en-US"/>
        </w:rPr>
        <w:lastRenderedPageBreak/>
        <w:t>BEKK-GARCH. Temuan ini menjadi landasan ilmiah bahwa indeks S&amp;P500 (SP500) merupakan fitur prediktif yang valid dan harus disertakan dalam model prediksi harga minyak.</w:t>
      </w:r>
    </w:p>
    <w:p w14:paraId="086A1A73" w14:textId="79A47332" w:rsidR="00797C4C" w:rsidRPr="0033742D" w:rsidRDefault="00797C4C" w:rsidP="0010527A">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Sumber Data</w:t>
      </w:r>
    </w:p>
    <w:p w14:paraId="698563CC" w14:textId="77777777" w:rsidR="00797C4C" w:rsidRPr="0033742D" w:rsidRDefault="00797C4C" w:rsidP="0010527A">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Data diambil secara otomatis menggunakan simulasi browser dengan library selenium dan BeautifulSoup untuk mengekstrak data historis dari Yahoo Finance, yang merupakan sumber data keuangan historis yang terpercaya dan bebas akses. Data yang diambil adalah harga penutupan harian (daily closing price) dari empat instrumen finansial:</w:t>
      </w:r>
    </w:p>
    <w:tbl>
      <w:tblPr>
        <w:tblStyle w:val="TableGrid0"/>
        <w:tblW w:w="8631" w:type="dxa"/>
        <w:tblInd w:w="720" w:type="dxa"/>
        <w:tblLook w:val="04A0" w:firstRow="1" w:lastRow="0" w:firstColumn="1" w:lastColumn="0" w:noHBand="0" w:noVBand="1"/>
      </w:tblPr>
      <w:tblGrid>
        <w:gridCol w:w="1543"/>
        <w:gridCol w:w="2410"/>
        <w:gridCol w:w="4678"/>
      </w:tblGrid>
      <w:tr w:rsidR="0010527A" w:rsidRPr="0033742D" w14:paraId="1D600E24" w14:textId="77777777" w:rsidTr="0010527A">
        <w:tc>
          <w:tcPr>
            <w:tcW w:w="1543" w:type="dxa"/>
            <w:vAlign w:val="center"/>
          </w:tcPr>
          <w:p w14:paraId="5088D232" w14:textId="6508F11C"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Simbol Ticker</w:t>
            </w:r>
          </w:p>
        </w:tc>
        <w:tc>
          <w:tcPr>
            <w:tcW w:w="2410" w:type="dxa"/>
            <w:vAlign w:val="center"/>
          </w:tcPr>
          <w:p w14:paraId="2BF49A23" w14:textId="23169E8F"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Nama Aset</w:t>
            </w:r>
          </w:p>
        </w:tc>
        <w:tc>
          <w:tcPr>
            <w:tcW w:w="4678" w:type="dxa"/>
            <w:vAlign w:val="center"/>
          </w:tcPr>
          <w:p w14:paraId="61C9FF9D" w14:textId="35CD9031"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Alasan Pemilihan</w:t>
            </w:r>
          </w:p>
        </w:tc>
      </w:tr>
      <w:tr w:rsidR="0010527A" w:rsidRPr="0033742D" w14:paraId="3559DA20" w14:textId="77777777" w:rsidTr="0010527A">
        <w:tc>
          <w:tcPr>
            <w:tcW w:w="1543" w:type="dxa"/>
            <w:vAlign w:val="center"/>
          </w:tcPr>
          <w:p w14:paraId="090B4855" w14:textId="2A218324"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CL=F</w:t>
            </w:r>
          </w:p>
        </w:tc>
        <w:tc>
          <w:tcPr>
            <w:tcW w:w="2410" w:type="dxa"/>
            <w:vAlign w:val="center"/>
          </w:tcPr>
          <w:p w14:paraId="10E2A2C6" w14:textId="62B0BFA9"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WTI Crude Oil Futures</w:t>
            </w:r>
          </w:p>
        </w:tc>
        <w:tc>
          <w:tcPr>
            <w:tcW w:w="4678" w:type="dxa"/>
            <w:vAlign w:val="center"/>
          </w:tcPr>
          <w:p w14:paraId="618B3AC1" w14:textId="31B5B074"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Variabel target prediksi</w:t>
            </w:r>
          </w:p>
        </w:tc>
      </w:tr>
      <w:tr w:rsidR="0010527A" w:rsidRPr="0033742D" w14:paraId="6D492EAD" w14:textId="77777777" w:rsidTr="0010527A">
        <w:tc>
          <w:tcPr>
            <w:tcW w:w="1543" w:type="dxa"/>
            <w:vAlign w:val="center"/>
          </w:tcPr>
          <w:p w14:paraId="5311D990" w14:textId="223F27DC"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^GSPC</w:t>
            </w:r>
          </w:p>
        </w:tc>
        <w:tc>
          <w:tcPr>
            <w:tcW w:w="2410" w:type="dxa"/>
            <w:vAlign w:val="center"/>
          </w:tcPr>
          <w:p w14:paraId="6ED43E47" w14:textId="6BE8F4F7"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S&amp;P 500 Index</w:t>
            </w:r>
          </w:p>
        </w:tc>
        <w:tc>
          <w:tcPr>
            <w:tcW w:w="4678" w:type="dxa"/>
            <w:vAlign w:val="center"/>
          </w:tcPr>
          <w:p w14:paraId="5F66293F" w14:textId="630AA3F6"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Transmisi volatilitas ke minyak (MSL, 2019)</w:t>
            </w:r>
          </w:p>
        </w:tc>
      </w:tr>
      <w:tr w:rsidR="0010527A" w:rsidRPr="0033742D" w14:paraId="32BC5462" w14:textId="77777777" w:rsidTr="0010527A">
        <w:tc>
          <w:tcPr>
            <w:tcW w:w="1543" w:type="dxa"/>
            <w:vAlign w:val="center"/>
          </w:tcPr>
          <w:p w14:paraId="2B90860E" w14:textId="2A40F480"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GC=F</w:t>
            </w:r>
          </w:p>
        </w:tc>
        <w:tc>
          <w:tcPr>
            <w:tcW w:w="2410" w:type="dxa"/>
            <w:vAlign w:val="center"/>
          </w:tcPr>
          <w:p w14:paraId="62738D71" w14:textId="18F0AE11"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Gold Futures</w:t>
            </w:r>
          </w:p>
        </w:tc>
        <w:tc>
          <w:tcPr>
            <w:tcW w:w="4678" w:type="dxa"/>
            <w:vAlign w:val="center"/>
          </w:tcPr>
          <w:p w14:paraId="06061766" w14:textId="6452744D"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Korelasi positif dengan WTI (CESifo, 2022)</w:t>
            </w:r>
          </w:p>
        </w:tc>
      </w:tr>
      <w:tr w:rsidR="0010527A" w:rsidRPr="0033742D" w14:paraId="31EF071A" w14:textId="77777777" w:rsidTr="0010527A">
        <w:tc>
          <w:tcPr>
            <w:tcW w:w="1543" w:type="dxa"/>
            <w:vAlign w:val="center"/>
          </w:tcPr>
          <w:p w14:paraId="7DFE1382" w14:textId="4A449BAB"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DX-Y.NYB</w:t>
            </w:r>
          </w:p>
        </w:tc>
        <w:tc>
          <w:tcPr>
            <w:tcW w:w="2410" w:type="dxa"/>
            <w:vAlign w:val="center"/>
          </w:tcPr>
          <w:p w14:paraId="173F4F40" w14:textId="4514C5F7"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US Dollar Index (DXY)</w:t>
            </w:r>
          </w:p>
        </w:tc>
        <w:tc>
          <w:tcPr>
            <w:tcW w:w="4678" w:type="dxa"/>
            <w:vAlign w:val="center"/>
          </w:tcPr>
          <w:p w14:paraId="72D008D0" w14:textId="48FB5C36" w:rsidR="0010527A" w:rsidRPr="0033742D" w:rsidRDefault="0010527A" w:rsidP="0010527A">
            <w:pPr>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Korelasi negatif dengan WTI (CESifo, 2022)</w:t>
            </w:r>
          </w:p>
        </w:tc>
      </w:tr>
    </w:tbl>
    <w:p w14:paraId="7419ECFC" w14:textId="77777777" w:rsidR="0010527A" w:rsidRPr="0033742D" w:rsidRDefault="0010527A" w:rsidP="0010527A">
      <w:pPr>
        <w:ind w:left="0" w:firstLine="0"/>
        <w:rPr>
          <w:rFonts w:ascii="Times New Roman" w:hAnsi="Times New Roman" w:cs="Times New Roman"/>
          <w:szCs w:val="22"/>
        </w:rPr>
      </w:pPr>
    </w:p>
    <w:p w14:paraId="47AFEEF2" w14:textId="18A96055" w:rsidR="00797C4C" w:rsidRPr="0033742D" w:rsidRDefault="00797C4C" w:rsidP="0010527A">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Detail Dataset Hasil Scraping</w:t>
      </w:r>
    </w:p>
    <w:tbl>
      <w:tblPr>
        <w:tblStyle w:val="TableGrid0"/>
        <w:tblW w:w="8631" w:type="dxa"/>
        <w:tblInd w:w="720" w:type="dxa"/>
        <w:tblLook w:val="04A0" w:firstRow="1" w:lastRow="0" w:firstColumn="1" w:lastColumn="0" w:noHBand="0" w:noVBand="1"/>
      </w:tblPr>
      <w:tblGrid>
        <w:gridCol w:w="3119"/>
        <w:gridCol w:w="5512"/>
      </w:tblGrid>
      <w:tr w:rsidR="009C4682" w:rsidRPr="0033742D" w14:paraId="600DCFAC" w14:textId="77777777" w:rsidTr="009C4682">
        <w:tc>
          <w:tcPr>
            <w:tcW w:w="3119" w:type="dxa"/>
            <w:vAlign w:val="center"/>
          </w:tcPr>
          <w:p w14:paraId="4F13D85F" w14:textId="1A7B1037"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Properti</w:t>
            </w:r>
          </w:p>
        </w:tc>
        <w:tc>
          <w:tcPr>
            <w:tcW w:w="5512" w:type="dxa"/>
            <w:vAlign w:val="center"/>
          </w:tcPr>
          <w:p w14:paraId="47609A57" w14:textId="7E29CBCB"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Nilai</w:t>
            </w:r>
          </w:p>
        </w:tc>
      </w:tr>
      <w:tr w:rsidR="009C4682" w:rsidRPr="0033742D" w14:paraId="4C355737" w14:textId="77777777" w:rsidTr="009C4682">
        <w:tc>
          <w:tcPr>
            <w:tcW w:w="3119" w:type="dxa"/>
            <w:vAlign w:val="center"/>
          </w:tcPr>
          <w:p w14:paraId="0CE4F20C" w14:textId="247C2555"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Periode Data (yang diminta)</w:t>
            </w:r>
          </w:p>
        </w:tc>
        <w:tc>
          <w:tcPr>
            <w:tcW w:w="5512" w:type="dxa"/>
            <w:vAlign w:val="center"/>
          </w:tcPr>
          <w:p w14:paraId="462673CD" w14:textId="49B0E7A6"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1 Januari 2000 — 31 Desember 2025</w:t>
            </w:r>
          </w:p>
        </w:tc>
      </w:tr>
      <w:tr w:rsidR="009C4682" w:rsidRPr="0033742D" w14:paraId="0195B47D" w14:textId="77777777" w:rsidTr="009C4682">
        <w:tc>
          <w:tcPr>
            <w:tcW w:w="3119" w:type="dxa"/>
            <w:vAlign w:val="center"/>
          </w:tcPr>
          <w:p w14:paraId="355FA75B" w14:textId="22B3A6DF"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Jumlah Baris (setelah alignment)</w:t>
            </w:r>
          </w:p>
        </w:tc>
        <w:tc>
          <w:tcPr>
            <w:tcW w:w="5512" w:type="dxa"/>
            <w:vAlign w:val="center"/>
          </w:tcPr>
          <w:p w14:paraId="31A427C0" w14:textId="61156B23"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Akan ditentukan setelah proses alignment</w:t>
            </w:r>
          </w:p>
        </w:tc>
      </w:tr>
      <w:tr w:rsidR="009C4682" w:rsidRPr="0033742D" w14:paraId="25E4C833" w14:textId="77777777" w:rsidTr="009C4682">
        <w:tc>
          <w:tcPr>
            <w:tcW w:w="3119" w:type="dxa"/>
            <w:vAlign w:val="center"/>
          </w:tcPr>
          <w:p w14:paraId="6739DAAD" w14:textId="0DBC0B6A"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Jumlah Kolom</w:t>
            </w:r>
          </w:p>
        </w:tc>
        <w:tc>
          <w:tcPr>
            <w:tcW w:w="5512" w:type="dxa"/>
            <w:vAlign w:val="center"/>
          </w:tcPr>
          <w:p w14:paraId="318712B0" w14:textId="020E91FE"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4 kolom</w:t>
            </w:r>
          </w:p>
        </w:tc>
      </w:tr>
      <w:tr w:rsidR="009C4682" w:rsidRPr="0033742D" w14:paraId="40340273" w14:textId="77777777" w:rsidTr="009C4682">
        <w:tc>
          <w:tcPr>
            <w:tcW w:w="3119" w:type="dxa"/>
            <w:vMerge w:val="restart"/>
          </w:tcPr>
          <w:p w14:paraId="54E11355" w14:textId="04035E65" w:rsidR="009C4682" w:rsidRPr="0033742D" w:rsidRDefault="009C4682" w:rsidP="009C4682">
            <w:pPr>
              <w:pStyle w:val="ListParagraph"/>
              <w:spacing w:before="0" w:after="160" w:line="278" w:lineRule="auto"/>
              <w:ind w:left="0" w:firstLine="0"/>
              <w:rPr>
                <w:rFonts w:ascii="Times New Roman" w:eastAsiaTheme="minorHAnsi" w:hAnsi="Times New Roman" w:cs="Times New Roman"/>
                <w:color w:val="auto"/>
                <w:szCs w:val="22"/>
                <w:lang w:eastAsia="en-US"/>
              </w:rPr>
            </w:pPr>
            <w:r w:rsidRPr="0033742D">
              <w:rPr>
                <w:rFonts w:ascii="Times New Roman" w:hAnsi="Times New Roman" w:cs="Times New Roman"/>
                <w:szCs w:val="22"/>
              </w:rPr>
              <w:t>Nama Kolom</w:t>
            </w:r>
          </w:p>
        </w:tc>
        <w:tc>
          <w:tcPr>
            <w:tcW w:w="5512" w:type="dxa"/>
            <w:vAlign w:val="center"/>
          </w:tcPr>
          <w:p w14:paraId="59AF96AB" w14:textId="5EDCA4A6" w:rsidR="009C4682" w:rsidRPr="0033742D" w:rsidRDefault="009C4682" w:rsidP="009C4682">
            <w:pPr>
              <w:pStyle w:val="ListParagraph"/>
              <w:spacing w:before="0" w:after="160" w:line="278" w:lineRule="auto"/>
              <w:ind w:left="0" w:firstLine="0"/>
              <w:jc w:val="both"/>
              <w:rPr>
                <w:rFonts w:ascii="Times New Roman" w:hAnsi="Times New Roman" w:cs="Times New Roman"/>
                <w:szCs w:val="22"/>
              </w:rPr>
            </w:pPr>
            <w:r w:rsidRPr="0033742D">
              <w:rPr>
                <w:rFonts w:ascii="Times New Roman" w:hAnsi="Times New Roman" w:cs="Times New Roman"/>
                <w:szCs w:val="22"/>
              </w:rPr>
              <w:t>CL=F_Close</w:t>
            </w:r>
          </w:p>
        </w:tc>
      </w:tr>
      <w:tr w:rsidR="009C4682" w:rsidRPr="0033742D" w14:paraId="149DCB7B" w14:textId="77777777" w:rsidTr="009C4682">
        <w:tc>
          <w:tcPr>
            <w:tcW w:w="3119" w:type="dxa"/>
            <w:vMerge/>
            <w:vAlign w:val="center"/>
          </w:tcPr>
          <w:p w14:paraId="48A1AA44" w14:textId="77777777" w:rsidR="009C4682" w:rsidRPr="0033742D" w:rsidRDefault="009C4682" w:rsidP="009C4682">
            <w:pPr>
              <w:pStyle w:val="ListParagraph"/>
              <w:spacing w:before="0" w:after="160" w:line="278" w:lineRule="auto"/>
              <w:ind w:left="0" w:firstLine="0"/>
              <w:jc w:val="both"/>
              <w:rPr>
                <w:rFonts w:ascii="Times New Roman" w:hAnsi="Times New Roman" w:cs="Times New Roman"/>
                <w:szCs w:val="22"/>
              </w:rPr>
            </w:pPr>
          </w:p>
        </w:tc>
        <w:tc>
          <w:tcPr>
            <w:tcW w:w="5512" w:type="dxa"/>
            <w:vAlign w:val="center"/>
          </w:tcPr>
          <w:p w14:paraId="7D0DC725" w14:textId="12E2CDF6" w:rsidR="009C4682" w:rsidRPr="0033742D" w:rsidRDefault="009C4682" w:rsidP="009C4682">
            <w:pPr>
              <w:pStyle w:val="ListParagraph"/>
              <w:spacing w:before="0" w:after="160" w:line="278" w:lineRule="auto"/>
              <w:ind w:left="0" w:firstLine="0"/>
              <w:jc w:val="both"/>
              <w:rPr>
                <w:rFonts w:ascii="Times New Roman" w:hAnsi="Times New Roman" w:cs="Times New Roman"/>
                <w:szCs w:val="22"/>
              </w:rPr>
            </w:pPr>
            <w:r w:rsidRPr="0033742D">
              <w:rPr>
                <w:rFonts w:ascii="Times New Roman" w:hAnsi="Times New Roman" w:cs="Times New Roman"/>
                <w:szCs w:val="22"/>
              </w:rPr>
              <w:t>^GSPC_Close</w:t>
            </w:r>
          </w:p>
        </w:tc>
      </w:tr>
      <w:tr w:rsidR="009C4682" w:rsidRPr="0033742D" w14:paraId="1878ADCE" w14:textId="77777777" w:rsidTr="009C4682">
        <w:tc>
          <w:tcPr>
            <w:tcW w:w="3119" w:type="dxa"/>
            <w:vMerge/>
            <w:vAlign w:val="center"/>
          </w:tcPr>
          <w:p w14:paraId="31B86163" w14:textId="77777777" w:rsidR="009C4682" w:rsidRPr="0033742D" w:rsidRDefault="009C4682" w:rsidP="009C4682">
            <w:pPr>
              <w:pStyle w:val="ListParagraph"/>
              <w:spacing w:before="0" w:after="160" w:line="278" w:lineRule="auto"/>
              <w:ind w:left="0" w:firstLine="0"/>
              <w:jc w:val="both"/>
              <w:rPr>
                <w:rFonts w:ascii="Times New Roman" w:hAnsi="Times New Roman" w:cs="Times New Roman"/>
                <w:szCs w:val="22"/>
              </w:rPr>
            </w:pPr>
          </w:p>
        </w:tc>
        <w:tc>
          <w:tcPr>
            <w:tcW w:w="5512" w:type="dxa"/>
            <w:vAlign w:val="center"/>
          </w:tcPr>
          <w:p w14:paraId="097CEC0F" w14:textId="47C3B7BA" w:rsidR="009C4682" w:rsidRPr="0033742D" w:rsidRDefault="009C4682" w:rsidP="009C4682">
            <w:pPr>
              <w:pStyle w:val="ListParagraph"/>
              <w:spacing w:before="0" w:after="160" w:line="278" w:lineRule="auto"/>
              <w:ind w:left="0" w:firstLine="0"/>
              <w:jc w:val="both"/>
              <w:rPr>
                <w:rFonts w:ascii="Times New Roman" w:hAnsi="Times New Roman" w:cs="Times New Roman"/>
                <w:szCs w:val="22"/>
              </w:rPr>
            </w:pPr>
            <w:r w:rsidRPr="0033742D">
              <w:rPr>
                <w:rFonts w:ascii="Times New Roman" w:hAnsi="Times New Roman" w:cs="Times New Roman"/>
                <w:szCs w:val="22"/>
              </w:rPr>
              <w:t>GC=F_Close</w:t>
            </w:r>
          </w:p>
        </w:tc>
      </w:tr>
      <w:tr w:rsidR="009C4682" w:rsidRPr="0033742D" w14:paraId="79A406D1" w14:textId="77777777" w:rsidTr="009C4682">
        <w:tc>
          <w:tcPr>
            <w:tcW w:w="3119" w:type="dxa"/>
            <w:vMerge/>
            <w:vAlign w:val="center"/>
          </w:tcPr>
          <w:p w14:paraId="31101B30" w14:textId="77777777" w:rsidR="009C4682" w:rsidRPr="0033742D" w:rsidRDefault="009C4682" w:rsidP="009C4682">
            <w:pPr>
              <w:pStyle w:val="ListParagraph"/>
              <w:spacing w:before="0" w:after="160" w:line="278" w:lineRule="auto"/>
              <w:ind w:left="0" w:firstLine="0"/>
              <w:jc w:val="both"/>
              <w:rPr>
                <w:rFonts w:ascii="Times New Roman" w:hAnsi="Times New Roman" w:cs="Times New Roman"/>
                <w:szCs w:val="22"/>
              </w:rPr>
            </w:pPr>
          </w:p>
        </w:tc>
        <w:tc>
          <w:tcPr>
            <w:tcW w:w="5512" w:type="dxa"/>
            <w:vAlign w:val="center"/>
          </w:tcPr>
          <w:p w14:paraId="51EFDAA7" w14:textId="3B820840" w:rsidR="009C4682" w:rsidRPr="0033742D" w:rsidRDefault="009C4682" w:rsidP="009C4682">
            <w:pPr>
              <w:pStyle w:val="ListParagraph"/>
              <w:spacing w:before="0" w:after="160" w:line="278" w:lineRule="auto"/>
              <w:ind w:left="0" w:firstLine="0"/>
              <w:jc w:val="both"/>
              <w:rPr>
                <w:rFonts w:ascii="Times New Roman" w:hAnsi="Times New Roman" w:cs="Times New Roman"/>
                <w:szCs w:val="22"/>
              </w:rPr>
            </w:pPr>
            <w:r w:rsidRPr="0033742D">
              <w:rPr>
                <w:rFonts w:ascii="Times New Roman" w:hAnsi="Times New Roman" w:cs="Times New Roman"/>
                <w:szCs w:val="22"/>
              </w:rPr>
              <w:t>DX-Y.NYB_Close</w:t>
            </w:r>
          </w:p>
        </w:tc>
      </w:tr>
      <w:tr w:rsidR="009C4682" w:rsidRPr="0033742D" w14:paraId="66671FCA" w14:textId="77777777" w:rsidTr="009C4682">
        <w:tc>
          <w:tcPr>
            <w:tcW w:w="3119" w:type="dxa"/>
            <w:vAlign w:val="center"/>
          </w:tcPr>
          <w:p w14:paraId="264ED7EF" w14:textId="5CA29367"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Tipe Data</w:t>
            </w:r>
          </w:p>
        </w:tc>
        <w:tc>
          <w:tcPr>
            <w:tcW w:w="5512" w:type="dxa"/>
            <w:vAlign w:val="center"/>
          </w:tcPr>
          <w:p w14:paraId="39BEC3B7" w14:textId="63FDC9FE"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float64 (semua kolom)</w:t>
            </w:r>
          </w:p>
        </w:tc>
      </w:tr>
      <w:tr w:rsidR="009C4682" w:rsidRPr="0033742D" w14:paraId="5CC63359" w14:textId="77777777" w:rsidTr="009C4682">
        <w:tc>
          <w:tcPr>
            <w:tcW w:w="3119" w:type="dxa"/>
            <w:vAlign w:val="center"/>
          </w:tcPr>
          <w:p w14:paraId="4605EAF9" w14:textId="1A3B0944"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Format Indeks</w:t>
            </w:r>
          </w:p>
        </w:tc>
        <w:tc>
          <w:tcPr>
            <w:tcW w:w="5512" w:type="dxa"/>
            <w:vAlign w:val="center"/>
          </w:tcPr>
          <w:p w14:paraId="6C142B18" w14:textId="65DF3012"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DatetimeIndex (harian)</w:t>
            </w:r>
          </w:p>
        </w:tc>
      </w:tr>
      <w:tr w:rsidR="009C4682" w:rsidRPr="0033742D" w14:paraId="0D3AC7F0" w14:textId="77777777" w:rsidTr="009C4682">
        <w:tc>
          <w:tcPr>
            <w:tcW w:w="3119" w:type="dxa"/>
            <w:vAlign w:val="center"/>
          </w:tcPr>
          <w:p w14:paraId="3C9E6A9F" w14:textId="3E440F7C"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File Output</w:t>
            </w:r>
          </w:p>
        </w:tc>
        <w:tc>
          <w:tcPr>
            <w:tcW w:w="5512" w:type="dxa"/>
            <w:vAlign w:val="center"/>
          </w:tcPr>
          <w:p w14:paraId="246D3945" w14:textId="5412E5EE" w:rsidR="009C4682" w:rsidRPr="0033742D" w:rsidRDefault="009C4682" w:rsidP="009C4682">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dataset_raw.csv, dataset_clean.csv</w:t>
            </w:r>
          </w:p>
        </w:tc>
      </w:tr>
    </w:tbl>
    <w:p w14:paraId="57472A0B" w14:textId="77777777" w:rsidR="00AF2C48" w:rsidRPr="0033742D" w:rsidRDefault="00AF2C48" w:rsidP="00AF2C48">
      <w:pPr>
        <w:spacing w:before="0" w:after="160" w:line="278" w:lineRule="auto"/>
        <w:ind w:left="720" w:firstLine="414"/>
        <w:jc w:val="both"/>
        <w:rPr>
          <w:rFonts w:ascii="Times New Roman" w:eastAsiaTheme="minorHAnsi" w:hAnsi="Times New Roman" w:cs="Times New Roman"/>
          <w:color w:val="auto"/>
          <w:szCs w:val="22"/>
          <w:lang w:eastAsia="en-US"/>
        </w:rPr>
      </w:pPr>
    </w:p>
    <w:p w14:paraId="0C5C2D39" w14:textId="6C56C16B" w:rsidR="00AF2C48" w:rsidRPr="0033742D" w:rsidRDefault="00797C4C" w:rsidP="00AF2C48">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Dataset memenuhi syarat minimal 1.000 titik waktu dan bersifat multivariat (lebih dari 2 fitur), sesuai dengan ketentuan Milestone 1.</w:t>
      </w:r>
    </w:p>
    <w:p w14:paraId="3498C346" w14:textId="26A9077C" w:rsidR="00797C4C" w:rsidRPr="0033742D" w:rsidRDefault="00797C4C" w:rsidP="009C4682">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Justifikasi Pemilihan Fitur</w:t>
      </w:r>
    </w:p>
    <w:p w14:paraId="63882D71" w14:textId="1E84870E" w:rsidR="00797C4C" w:rsidRPr="0033742D" w:rsidRDefault="00797C4C" w:rsidP="009C4682">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WTI (Target): Variabel yang diprediksi. Dipilih karena WTI adalah tolok ukur global</w:t>
      </w:r>
      <w:r w:rsidR="009C4682" w:rsidRPr="0033742D">
        <w:rPr>
          <w:rFonts w:ascii="Times New Roman" w:eastAsiaTheme="minorHAnsi" w:hAnsi="Times New Roman" w:cs="Times New Roman"/>
          <w:color w:val="auto"/>
          <w:szCs w:val="22"/>
          <w:lang w:eastAsia="en-US"/>
        </w:rPr>
        <w:t xml:space="preserve"> </w:t>
      </w:r>
      <w:r w:rsidRPr="0033742D">
        <w:rPr>
          <w:rFonts w:ascii="Times New Roman" w:eastAsiaTheme="minorHAnsi" w:hAnsi="Times New Roman" w:cs="Times New Roman"/>
          <w:color w:val="auto"/>
          <w:szCs w:val="22"/>
          <w:lang w:eastAsia="en-US"/>
        </w:rPr>
        <w:t>harga minyak mentah.</w:t>
      </w:r>
    </w:p>
    <w:p w14:paraId="7A444028" w14:textId="77777777" w:rsidR="00797C4C" w:rsidRPr="0033742D" w:rsidRDefault="00797C4C" w:rsidP="009C4682">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lastRenderedPageBreak/>
        <w:t>SP500: Berdasarkan jurnal "Testing the Volatility Spillover..." (MSL, 2019), terdapat spillover volatilitas satu arah dari S&amp;P500 ke harga minyak, sehingga SP500 adalah prediktor yang valid.</w:t>
      </w:r>
    </w:p>
    <w:p w14:paraId="275E4541" w14:textId="77777777" w:rsidR="00797C4C" w:rsidRPr="0033742D" w:rsidRDefault="00797C4C" w:rsidP="009C4682">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GOLD: Jurnal "The Determinants of Crude Oil Prices" (CESifo, 2022) membuktikan hubungan jangka panjang yang signifikan antara harga emas dan harga minyak WTI, karena keduanya sama-sama dikuotasi dalam dolar AS.</w:t>
      </w:r>
    </w:p>
    <w:p w14:paraId="669398DD" w14:textId="507BE32C" w:rsidR="00797C4C" w:rsidRPr="0033742D" w:rsidRDefault="00797C4C" w:rsidP="009C4682">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DXY: Jurnal yang sama membuktikan bahwa pelemahan dolar AS (depresiasi) mendorong kenaikan harga minyak karena meningkatkan permintaan impor minyak</w:t>
      </w:r>
      <w:r w:rsidR="009C4682" w:rsidRPr="0033742D">
        <w:rPr>
          <w:rFonts w:ascii="Times New Roman" w:eastAsiaTheme="minorHAnsi" w:hAnsi="Times New Roman" w:cs="Times New Roman"/>
          <w:color w:val="auto"/>
          <w:szCs w:val="22"/>
          <w:lang w:eastAsia="en-US"/>
        </w:rPr>
        <w:t xml:space="preserve"> </w:t>
      </w:r>
      <w:r w:rsidRPr="0033742D">
        <w:rPr>
          <w:rFonts w:ascii="Times New Roman" w:eastAsiaTheme="minorHAnsi" w:hAnsi="Times New Roman" w:cs="Times New Roman"/>
          <w:color w:val="auto"/>
          <w:szCs w:val="22"/>
          <w:lang w:eastAsia="en-US"/>
        </w:rPr>
        <w:t>dari negara-negara non-dolar.</w:t>
      </w:r>
    </w:p>
    <w:p w14:paraId="5C03941D" w14:textId="77777777" w:rsidR="009C4682" w:rsidRPr="0033742D" w:rsidRDefault="009C4682" w:rsidP="009C4682">
      <w:pPr>
        <w:pStyle w:val="ListParagraph"/>
        <w:spacing w:before="0" w:after="160" w:line="278" w:lineRule="auto"/>
        <w:ind w:left="1134" w:firstLine="0"/>
        <w:jc w:val="both"/>
        <w:rPr>
          <w:rFonts w:ascii="Times New Roman" w:eastAsiaTheme="minorHAnsi" w:hAnsi="Times New Roman" w:cs="Times New Roman"/>
          <w:color w:val="auto"/>
          <w:szCs w:val="22"/>
          <w:lang w:eastAsia="en-US"/>
        </w:rPr>
      </w:pPr>
    </w:p>
    <w:p w14:paraId="475C56B6" w14:textId="18AB0795" w:rsidR="00797C4C" w:rsidRPr="0033742D" w:rsidRDefault="00797C4C" w:rsidP="009C4682">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Instalasi Library Python</w:t>
      </w:r>
    </w:p>
    <w:p w14:paraId="3C776AB2" w14:textId="77777777" w:rsidR="00797C4C" w:rsidRPr="0033742D" w:rsidRDefault="00797C4C" w:rsidP="009C4682">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Pada tahap ini dilakukan instalasi beberapa library Python yang digunakan dalam proses scraping dan pengolahan data. Library selenium digunakan untuk otomatisasi browser, webdriver-manager digunakan untuk mengelola ChromeDriver secara otomatis, beautifulsoup4 digunakan untuk parsing HTML, sedangkan pandas digunakan untuk manipulasi dan penyimpanan dataset.</w:t>
      </w:r>
    </w:p>
    <w:p w14:paraId="4C44FBB1" w14:textId="77777777" w:rsidR="00797C4C" w:rsidRPr="0033742D" w:rsidRDefault="00797C4C" w:rsidP="009C4682">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Tahap ini bertujuan untuk memastikan seluruh dependency Python yang dibutuhkan dalam proses scraping tersedia dan dapat digunakan pada environment Google Colab.</w:t>
      </w:r>
    </w:p>
    <w:p w14:paraId="0D7884A7" w14:textId="09643767" w:rsidR="00797C4C" w:rsidRPr="0033742D" w:rsidRDefault="00797C4C" w:rsidP="009C4682">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Proses Scraping Data Historis</w:t>
      </w:r>
    </w:p>
    <w:p w14:paraId="6385BBDB" w14:textId="77777777" w:rsidR="00797C4C" w:rsidRPr="0033742D" w:rsidRDefault="00797C4C" w:rsidP="009C4682">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hAnsi="Times New Roman" w:cs="Times New Roman"/>
          <w:szCs w:val="22"/>
        </w:rPr>
        <w:t xml:space="preserve">Pada tahap ini dilakukan proses scraping data historis pasar keuangan dari Yahoo Finance menggunakan </w:t>
      </w:r>
      <w:r w:rsidRPr="0033742D">
        <w:rPr>
          <w:rFonts w:ascii="Times New Roman" w:eastAsiaTheme="minorHAnsi" w:hAnsi="Times New Roman" w:cs="Times New Roman"/>
          <w:color w:val="auto"/>
          <w:szCs w:val="22"/>
          <w:lang w:eastAsia="en-US"/>
        </w:rPr>
        <w:t>kombinasi library Selenium dan BeautifulSoup. Selenium digunakan untuk melakukan simulasi browser secara otomatis, sedangkan BeautifulSoup digunakan untuk melakukan parsing struktur HTML halaman historis Yahoo Finance.</w:t>
      </w:r>
    </w:p>
    <w:p w14:paraId="1C849B73" w14:textId="77777777" w:rsidR="00797C4C" w:rsidRPr="0033742D" w:rsidRDefault="00797C4C" w:rsidP="009C4682">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Data yang diambil berupa harga penutupan harian (Close) dari empat instrumen finansial, yaitu WTI Crude Oil Futures (CL=F), S&amp;P500 (^GSPC), Gold Futures (GC=F), dan US Dollar Index (DX-Y.NYB) untuk periode 1 Januari 2000 hingga 31 Desember 2025.</w:t>
      </w:r>
    </w:p>
    <w:p w14:paraId="4E801B96" w14:textId="77777777" w:rsidR="0033742D" w:rsidRPr="0033742D" w:rsidRDefault="00797C4C" w:rsidP="00AF2C48">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Selain proses scraping, tahap ini juga mencakup konfigurasi browser headless, ekstraksi tabel historis, pembersihan data awal, serta penyimpanan dataset mentah ke dalam file dataset_raw.csv.</w:t>
      </w:r>
    </w:p>
    <w:p w14:paraId="11C2DBDB" w14:textId="77777777" w:rsidR="0033742D" w:rsidRPr="0033742D" w:rsidRDefault="0033742D" w:rsidP="00AF2C48">
      <w:pPr>
        <w:spacing w:before="0" w:after="160" w:line="278" w:lineRule="auto"/>
        <w:ind w:left="720" w:firstLine="414"/>
        <w:jc w:val="both"/>
        <w:rPr>
          <w:rFonts w:ascii="Times New Roman" w:eastAsiaTheme="minorHAnsi" w:hAnsi="Times New Roman" w:cs="Times New Roman"/>
          <w:color w:val="auto"/>
          <w:szCs w:val="22"/>
          <w:lang w:eastAsia="en-US"/>
        </w:rPr>
      </w:pPr>
    </w:p>
    <w:p w14:paraId="10E7DE96" w14:textId="18347DBD" w:rsidR="002225F6" w:rsidRDefault="0033742D" w:rsidP="002225F6">
      <w:pPr>
        <w:pStyle w:val="ListParagraph"/>
        <w:numPr>
          <w:ilvl w:val="0"/>
          <w:numId w:val="15"/>
        </w:numPr>
        <w:spacing w:before="0" w:after="160" w:line="278" w:lineRule="auto"/>
        <w:jc w:val="center"/>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MILESTONE 2 — Exploratory Data Analysis &amp; Preprocessing</w:t>
      </w:r>
    </w:p>
    <w:p w14:paraId="13BE4A81" w14:textId="77777777" w:rsidR="002225F6" w:rsidRPr="002225F6" w:rsidRDefault="002225F6" w:rsidP="002225F6">
      <w:pPr>
        <w:pStyle w:val="ListParagraph"/>
        <w:spacing w:before="0" w:after="160" w:line="278" w:lineRule="auto"/>
        <w:ind w:firstLine="0"/>
        <w:rPr>
          <w:rFonts w:ascii="Times New Roman" w:eastAsiaTheme="minorHAnsi" w:hAnsi="Times New Roman" w:cs="Times New Roman"/>
          <w:color w:val="auto"/>
          <w:szCs w:val="22"/>
          <w:lang w:eastAsia="en-US"/>
        </w:rPr>
      </w:pPr>
    </w:p>
    <w:p w14:paraId="4EE6F44C" w14:textId="77777777" w:rsidR="002225F6" w:rsidRPr="002225F6" w:rsidRDefault="002225F6" w:rsidP="002225F6">
      <w:pPr>
        <w:pStyle w:val="ListParagraph"/>
        <w:numPr>
          <w:ilvl w:val="0"/>
          <w:numId w:val="6"/>
        </w:numPr>
        <w:spacing w:before="0" w:after="160" w:line="278" w:lineRule="auto"/>
        <w:jc w:val="both"/>
        <w:rPr>
          <w:rFonts w:ascii="Times New Roman" w:eastAsiaTheme="minorHAnsi" w:hAnsi="Times New Roman" w:cs="Times New Roman"/>
          <w:vanish/>
          <w:color w:val="auto"/>
          <w:szCs w:val="22"/>
          <w:lang w:eastAsia="en-US"/>
        </w:rPr>
      </w:pPr>
    </w:p>
    <w:p w14:paraId="3B008E39" w14:textId="66DD327E" w:rsidR="0033742D" w:rsidRPr="0033742D" w:rsidRDefault="0033742D" w:rsidP="002225F6">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t>Pembersihan Data dan Penanganan Missing Values</w:t>
      </w:r>
    </w:p>
    <w:p w14:paraId="1F5CED83" w14:textId="77777777" w:rsidR="0033742D" w:rsidRPr="002225F6" w:rsidRDefault="0033742D" w:rsidP="002225F6">
      <w:pPr>
        <w:spacing w:before="0" w:after="160" w:line="278" w:lineRule="auto"/>
        <w:ind w:left="720" w:firstLine="414"/>
        <w:jc w:val="both"/>
        <w:rPr>
          <w:rFonts w:ascii="Times New Roman" w:hAnsi="Times New Roman" w:cs="Times New Roman"/>
          <w:szCs w:val="22"/>
        </w:rPr>
      </w:pPr>
      <w:r w:rsidRPr="002225F6">
        <w:rPr>
          <w:rFonts w:ascii="Times New Roman" w:hAnsi="Times New Roman" w:cs="Times New Roman"/>
          <w:szCs w:val="22"/>
        </w:rPr>
        <w:t>Dataset mentah hasil scraping (dataset_raw.csv) mengandung ketidakselarasan tanggal akibat perbedaan kalender perdagangan masing-masing instrumen keuangan. Sebelum analisis eksploratif dan pemodelan, dilakukan tahap pembersihan data dengan prosedur berikut:</w:t>
      </w:r>
    </w:p>
    <w:p w14:paraId="4B107509" w14:textId="77777777" w:rsidR="0033742D" w:rsidRPr="002225F6" w:rsidRDefault="0033742D" w:rsidP="002225F6">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color w:val="auto"/>
          <w:szCs w:val="22"/>
          <w:lang w:eastAsia="en-US"/>
        </w:rPr>
      </w:pPr>
      <w:r w:rsidRPr="002225F6">
        <w:rPr>
          <w:rFonts w:ascii="Times New Roman" w:eastAsiaTheme="minorHAnsi" w:hAnsi="Times New Roman" w:cs="Times New Roman"/>
          <w:color w:val="auto"/>
          <w:szCs w:val="22"/>
          <w:lang w:eastAsia="en-US"/>
        </w:rPr>
        <w:t>Parsing &amp; Indexing: Indeks kolom tanggal dikonversi ke format DatetimeIndex dan diurutkan secara kronologis (sort_index()).</w:t>
      </w:r>
    </w:p>
    <w:p w14:paraId="4F3C9678" w14:textId="77777777" w:rsidR="002225F6" w:rsidRDefault="0033742D" w:rsidP="002225F6">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color w:val="auto"/>
          <w:szCs w:val="22"/>
          <w:lang w:eastAsia="en-US"/>
        </w:rPr>
      </w:pPr>
      <w:r w:rsidRPr="002225F6">
        <w:rPr>
          <w:rFonts w:ascii="Times New Roman" w:eastAsiaTheme="minorHAnsi" w:hAnsi="Times New Roman" w:cs="Times New Roman"/>
          <w:color w:val="auto"/>
          <w:szCs w:val="22"/>
          <w:lang w:eastAsia="en-US"/>
        </w:rPr>
        <w:t>Penanganan Missing Values:</w:t>
      </w:r>
    </w:p>
    <w:p w14:paraId="798B3DF5" w14:textId="77777777" w:rsidR="002225F6" w:rsidRDefault="0033742D" w:rsidP="002225F6">
      <w:pPr>
        <w:pStyle w:val="ListParagraph"/>
        <w:numPr>
          <w:ilvl w:val="0"/>
          <w:numId w:val="17"/>
        </w:numPr>
        <w:spacing w:before="0" w:after="160" w:line="278" w:lineRule="auto"/>
        <w:jc w:val="both"/>
        <w:rPr>
          <w:rFonts w:ascii="Times New Roman" w:eastAsiaTheme="minorHAnsi" w:hAnsi="Times New Roman" w:cs="Times New Roman"/>
          <w:color w:val="auto"/>
          <w:szCs w:val="22"/>
          <w:lang w:eastAsia="en-US"/>
        </w:rPr>
      </w:pPr>
      <w:r w:rsidRPr="002225F6">
        <w:rPr>
          <w:rFonts w:ascii="Times New Roman" w:eastAsiaTheme="minorHAnsi" w:hAnsi="Times New Roman" w:cs="Times New Roman"/>
          <w:color w:val="auto"/>
          <w:szCs w:val="22"/>
          <w:lang w:eastAsia="en-US"/>
        </w:rPr>
        <w:lastRenderedPageBreak/>
        <w:t>Awalnya terdapat nilai kosong (NaN): WTI (206), SP500 (34), GOLD (215), DXY (5).</w:t>
      </w:r>
    </w:p>
    <w:p w14:paraId="07A3918A" w14:textId="21904575" w:rsidR="002225F6" w:rsidRPr="002225F6" w:rsidRDefault="0033742D" w:rsidP="002225F6">
      <w:pPr>
        <w:pStyle w:val="ListParagraph"/>
        <w:numPr>
          <w:ilvl w:val="0"/>
          <w:numId w:val="17"/>
        </w:numPr>
        <w:spacing w:before="0" w:after="160" w:line="278" w:lineRule="auto"/>
        <w:jc w:val="both"/>
        <w:rPr>
          <w:rFonts w:ascii="Times New Roman" w:eastAsiaTheme="minorHAnsi" w:hAnsi="Times New Roman" w:cs="Times New Roman"/>
          <w:color w:val="auto"/>
          <w:szCs w:val="22"/>
          <w:lang w:eastAsia="en-US"/>
        </w:rPr>
      </w:pPr>
      <w:r w:rsidRPr="002225F6">
        <w:rPr>
          <w:rFonts w:ascii="Times New Roman" w:eastAsiaTheme="minorHAnsi" w:hAnsi="Times New Roman" w:cs="Times New Roman"/>
          <w:color w:val="auto"/>
          <w:szCs w:val="22"/>
          <w:lang w:eastAsia="en-US"/>
        </w:rPr>
        <w:t>Diisi menggunakan forward fill (ffill) untuk propagasi nilai terakhir, dilanjutkan backward fill (bfill) untuk mengisi celah di awal dataset.</w:t>
      </w:r>
    </w:p>
    <w:p w14:paraId="50153EE5" w14:textId="77777777" w:rsidR="0033742D" w:rsidRPr="002225F6" w:rsidRDefault="0033742D" w:rsidP="002225F6">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color w:val="auto"/>
          <w:szCs w:val="22"/>
          <w:lang w:eastAsia="en-US"/>
        </w:rPr>
      </w:pPr>
      <w:r w:rsidRPr="002225F6">
        <w:rPr>
          <w:rFonts w:ascii="Times New Roman" w:eastAsiaTheme="minorHAnsi" w:hAnsi="Times New Roman" w:cs="Times New Roman"/>
          <w:color w:val="auto"/>
          <w:szCs w:val="22"/>
          <w:lang w:eastAsia="en-US"/>
        </w:rPr>
        <w:t>Sinkronisasi Rentang Waktu: Dataset dipotong mulai 2000-08-30 agar seluruh instrumen memiliki periode pengamatan yang identik.</w:t>
      </w:r>
    </w:p>
    <w:p w14:paraId="5A1AA50A" w14:textId="77777777" w:rsidR="0033742D" w:rsidRPr="002225F6" w:rsidRDefault="0033742D" w:rsidP="002225F6">
      <w:pPr>
        <w:spacing w:before="0" w:after="160" w:line="278" w:lineRule="auto"/>
        <w:ind w:left="720" w:firstLine="414"/>
        <w:jc w:val="both"/>
        <w:rPr>
          <w:rFonts w:ascii="Times New Roman" w:hAnsi="Times New Roman" w:cs="Times New Roman"/>
          <w:szCs w:val="22"/>
        </w:rPr>
      </w:pPr>
      <w:r w:rsidRPr="002225F6">
        <w:rPr>
          <w:rFonts w:ascii="Times New Roman" w:hAnsi="Times New Roman" w:cs="Times New Roman"/>
          <w:szCs w:val="22"/>
        </w:rPr>
        <w:t>Hasil Akhir Preprocessing Awal:</w:t>
      </w:r>
    </w:p>
    <w:tbl>
      <w:tblPr>
        <w:tblStyle w:val="TableGrid0"/>
        <w:tblW w:w="0" w:type="auto"/>
        <w:tblInd w:w="720" w:type="dxa"/>
        <w:tblLook w:val="04A0" w:firstRow="1" w:lastRow="0" w:firstColumn="1" w:lastColumn="0" w:noHBand="0" w:noVBand="1"/>
      </w:tblPr>
      <w:tblGrid>
        <w:gridCol w:w="4313"/>
        <w:gridCol w:w="4314"/>
      </w:tblGrid>
      <w:tr w:rsidR="002225F6" w14:paraId="11C82BFD" w14:textId="77777777" w:rsidTr="002225F6">
        <w:tc>
          <w:tcPr>
            <w:tcW w:w="4313" w:type="dxa"/>
            <w:vAlign w:val="center"/>
          </w:tcPr>
          <w:p w14:paraId="0A731F29" w14:textId="7F178CD3"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Properti</w:t>
            </w:r>
          </w:p>
        </w:tc>
        <w:tc>
          <w:tcPr>
            <w:tcW w:w="4314" w:type="dxa"/>
            <w:vAlign w:val="center"/>
          </w:tcPr>
          <w:p w14:paraId="7D7F2555" w14:textId="45826B45"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Nilai</w:t>
            </w:r>
          </w:p>
        </w:tc>
      </w:tr>
      <w:tr w:rsidR="002225F6" w14:paraId="1C532E3A" w14:textId="77777777" w:rsidTr="002225F6">
        <w:tc>
          <w:tcPr>
            <w:tcW w:w="4313" w:type="dxa"/>
            <w:vAlign w:val="center"/>
          </w:tcPr>
          <w:p w14:paraId="474C30FF" w14:textId="375A1035"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Jumlah Baris</w:t>
            </w:r>
          </w:p>
        </w:tc>
        <w:tc>
          <w:tcPr>
            <w:tcW w:w="4314" w:type="dxa"/>
            <w:vAlign w:val="center"/>
          </w:tcPr>
          <w:p w14:paraId="5100874B" w14:textId="152C8870"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6.402</w:t>
            </w:r>
          </w:p>
        </w:tc>
      </w:tr>
      <w:tr w:rsidR="002225F6" w14:paraId="0CDAD6E2" w14:textId="77777777" w:rsidTr="002225F6">
        <w:tc>
          <w:tcPr>
            <w:tcW w:w="4313" w:type="dxa"/>
            <w:vAlign w:val="center"/>
          </w:tcPr>
          <w:p w14:paraId="3E2122B7" w14:textId="687AF997"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Jumlah Kolom</w:t>
            </w:r>
          </w:p>
        </w:tc>
        <w:tc>
          <w:tcPr>
            <w:tcW w:w="4314" w:type="dxa"/>
            <w:vAlign w:val="center"/>
          </w:tcPr>
          <w:p w14:paraId="183D9070" w14:textId="50C60BF1"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4 (WTI, SP500, GOLD, DXY)</w:t>
            </w:r>
          </w:p>
        </w:tc>
      </w:tr>
      <w:tr w:rsidR="002225F6" w14:paraId="1C32D56B" w14:textId="77777777" w:rsidTr="002225F6">
        <w:tc>
          <w:tcPr>
            <w:tcW w:w="4313" w:type="dxa"/>
            <w:vAlign w:val="center"/>
          </w:tcPr>
          <w:p w14:paraId="42724670" w14:textId="58C50094"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Missing Values</w:t>
            </w:r>
          </w:p>
        </w:tc>
        <w:tc>
          <w:tcPr>
            <w:tcW w:w="4314" w:type="dxa"/>
            <w:vAlign w:val="center"/>
          </w:tcPr>
          <w:p w14:paraId="35050237" w14:textId="18B41A6A"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0</w:t>
            </w:r>
          </w:p>
        </w:tc>
      </w:tr>
      <w:tr w:rsidR="002225F6" w14:paraId="7D7C6E6E" w14:textId="77777777" w:rsidTr="002225F6">
        <w:tc>
          <w:tcPr>
            <w:tcW w:w="4313" w:type="dxa"/>
            <w:vAlign w:val="center"/>
          </w:tcPr>
          <w:p w14:paraId="653230C0" w14:textId="50661685"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Tipe Data</w:t>
            </w:r>
          </w:p>
        </w:tc>
        <w:tc>
          <w:tcPr>
            <w:tcW w:w="4314" w:type="dxa"/>
            <w:vAlign w:val="center"/>
          </w:tcPr>
          <w:p w14:paraId="51852F82" w14:textId="777AC720"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float64</w:t>
            </w:r>
          </w:p>
        </w:tc>
      </w:tr>
      <w:tr w:rsidR="002225F6" w14:paraId="25450D0A" w14:textId="77777777" w:rsidTr="002225F6">
        <w:tc>
          <w:tcPr>
            <w:tcW w:w="4313" w:type="dxa"/>
            <w:vAlign w:val="center"/>
          </w:tcPr>
          <w:p w14:paraId="29A57ADB" w14:textId="3C361C86"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Rentang Waktu</w:t>
            </w:r>
          </w:p>
        </w:tc>
        <w:tc>
          <w:tcPr>
            <w:tcW w:w="4314" w:type="dxa"/>
            <w:vAlign w:val="center"/>
          </w:tcPr>
          <w:p w14:paraId="4C66F801" w14:textId="02F10AF0" w:rsidR="002225F6" w:rsidRDefault="002225F6" w:rsidP="002225F6">
            <w:pPr>
              <w:spacing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30 Agustus 2000 – 30 Desember 2025</w:t>
            </w:r>
          </w:p>
        </w:tc>
      </w:tr>
    </w:tbl>
    <w:p w14:paraId="5261B1C6" w14:textId="05194B75" w:rsidR="0033742D" w:rsidRPr="0033742D" w:rsidRDefault="0033742D" w:rsidP="002225F6">
      <w:pPr>
        <w:spacing w:after="160" w:line="278" w:lineRule="auto"/>
        <w:ind w:left="0" w:firstLine="0"/>
        <w:jc w:val="both"/>
        <w:rPr>
          <w:rFonts w:ascii="Times New Roman" w:eastAsiaTheme="minorHAnsi" w:hAnsi="Times New Roman" w:cs="Times New Roman"/>
          <w:szCs w:val="22"/>
          <w:lang w:eastAsia="en-US"/>
        </w:rPr>
      </w:pPr>
    </w:p>
    <w:p w14:paraId="08EDDEC3" w14:textId="188D7048" w:rsidR="0033742D" w:rsidRPr="002225F6" w:rsidRDefault="0033742D" w:rsidP="002225F6">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2225F6">
        <w:rPr>
          <w:rFonts w:ascii="Times New Roman" w:eastAsiaTheme="minorHAnsi" w:hAnsi="Times New Roman" w:cs="Times New Roman"/>
          <w:color w:val="auto"/>
          <w:szCs w:val="22"/>
          <w:lang w:eastAsia="en-US"/>
        </w:rPr>
        <w:t>Analisis Data Eksploratif (Exploratory Data Analysis — EDA)</w:t>
      </w:r>
    </w:p>
    <w:p w14:paraId="28878C8C" w14:textId="77777777" w:rsidR="0033742D" w:rsidRPr="002225F6" w:rsidRDefault="0033742D" w:rsidP="002225F6">
      <w:pPr>
        <w:spacing w:before="0" w:after="160" w:line="278" w:lineRule="auto"/>
        <w:ind w:left="720" w:firstLine="414"/>
        <w:jc w:val="both"/>
        <w:rPr>
          <w:rFonts w:ascii="Times New Roman" w:hAnsi="Times New Roman" w:cs="Times New Roman"/>
          <w:szCs w:val="22"/>
        </w:rPr>
      </w:pPr>
      <w:r w:rsidRPr="002225F6">
        <w:rPr>
          <w:rFonts w:ascii="Times New Roman" w:hAnsi="Times New Roman" w:cs="Times New Roman"/>
          <w:szCs w:val="22"/>
        </w:rPr>
        <w:t>EDA dilakukan untuk memahami karakteristik statistik, pola temporal, dan hubungan antar variabel sebelum pemodelan. Tujuh analisis utama dilakukan:</w:t>
      </w:r>
    </w:p>
    <w:p w14:paraId="7327A90E" w14:textId="65358192" w:rsidR="0033742D" w:rsidRDefault="0033742D" w:rsidP="002225F6">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Statistik Deskriptif</w:t>
      </w:r>
    </w:p>
    <w:tbl>
      <w:tblPr>
        <w:tblStyle w:val="TableGrid0"/>
        <w:tblW w:w="8217" w:type="dxa"/>
        <w:tblInd w:w="1134" w:type="dxa"/>
        <w:tblLook w:val="04A0" w:firstRow="1" w:lastRow="0" w:firstColumn="1" w:lastColumn="0" w:noHBand="0" w:noVBand="1"/>
      </w:tblPr>
      <w:tblGrid>
        <w:gridCol w:w="1129"/>
        <w:gridCol w:w="1560"/>
        <w:gridCol w:w="1701"/>
        <w:gridCol w:w="1984"/>
        <w:gridCol w:w="1843"/>
      </w:tblGrid>
      <w:tr w:rsidR="002225F6" w14:paraId="03386091" w14:textId="77777777" w:rsidTr="002225F6">
        <w:tc>
          <w:tcPr>
            <w:tcW w:w="1129" w:type="dxa"/>
            <w:vAlign w:val="center"/>
          </w:tcPr>
          <w:p w14:paraId="37B72D95" w14:textId="14CA6A64"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Fitur</w:t>
            </w:r>
          </w:p>
        </w:tc>
        <w:tc>
          <w:tcPr>
            <w:tcW w:w="1560" w:type="dxa"/>
            <w:vAlign w:val="center"/>
          </w:tcPr>
          <w:p w14:paraId="095C9150" w14:textId="34604762"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Mean</w:t>
            </w:r>
          </w:p>
        </w:tc>
        <w:tc>
          <w:tcPr>
            <w:tcW w:w="1701" w:type="dxa"/>
            <w:vAlign w:val="center"/>
          </w:tcPr>
          <w:p w14:paraId="3F3F57EB" w14:textId="6C9F5842"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Std</w:t>
            </w:r>
          </w:p>
        </w:tc>
        <w:tc>
          <w:tcPr>
            <w:tcW w:w="1984" w:type="dxa"/>
            <w:vAlign w:val="center"/>
          </w:tcPr>
          <w:p w14:paraId="7C1CB280" w14:textId="3809DE21"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Min</w:t>
            </w:r>
          </w:p>
        </w:tc>
        <w:tc>
          <w:tcPr>
            <w:tcW w:w="1843" w:type="dxa"/>
            <w:vAlign w:val="center"/>
          </w:tcPr>
          <w:p w14:paraId="73F8DA6C" w14:textId="6D9B5F18"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Max</w:t>
            </w:r>
          </w:p>
        </w:tc>
      </w:tr>
      <w:tr w:rsidR="002225F6" w14:paraId="5884E5EB" w14:textId="77777777" w:rsidTr="002225F6">
        <w:tc>
          <w:tcPr>
            <w:tcW w:w="1129" w:type="dxa"/>
            <w:vAlign w:val="center"/>
          </w:tcPr>
          <w:p w14:paraId="36D8D981" w14:textId="7C9C0404"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WTI</w:t>
            </w:r>
          </w:p>
        </w:tc>
        <w:tc>
          <w:tcPr>
            <w:tcW w:w="1560" w:type="dxa"/>
            <w:vAlign w:val="center"/>
          </w:tcPr>
          <w:p w14:paraId="381CFF6F" w14:textId="085307AA"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64.52</w:t>
            </w:r>
          </w:p>
        </w:tc>
        <w:tc>
          <w:tcPr>
            <w:tcW w:w="1701" w:type="dxa"/>
            <w:vAlign w:val="center"/>
          </w:tcPr>
          <w:p w14:paraId="4B80096F" w14:textId="7459C21F"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24.62</w:t>
            </w:r>
          </w:p>
        </w:tc>
        <w:tc>
          <w:tcPr>
            <w:tcW w:w="1984" w:type="dxa"/>
            <w:vAlign w:val="center"/>
          </w:tcPr>
          <w:p w14:paraId="09F6C570" w14:textId="32791666"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-37.63</w:t>
            </w:r>
          </w:p>
        </w:tc>
        <w:tc>
          <w:tcPr>
            <w:tcW w:w="1843" w:type="dxa"/>
            <w:vAlign w:val="center"/>
          </w:tcPr>
          <w:p w14:paraId="5B01128F" w14:textId="6A5D19B3"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145.29</w:t>
            </w:r>
          </w:p>
        </w:tc>
      </w:tr>
      <w:tr w:rsidR="002225F6" w14:paraId="1A22F922" w14:textId="77777777" w:rsidTr="002225F6">
        <w:tc>
          <w:tcPr>
            <w:tcW w:w="1129" w:type="dxa"/>
            <w:vAlign w:val="center"/>
          </w:tcPr>
          <w:p w14:paraId="3883ACFB" w14:textId="10AFCF48"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SP500</w:t>
            </w:r>
          </w:p>
        </w:tc>
        <w:tc>
          <w:tcPr>
            <w:tcW w:w="1560" w:type="dxa"/>
            <w:vAlign w:val="center"/>
          </w:tcPr>
          <w:p w14:paraId="2E8FDC05" w14:textId="43AFBC2C"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2,286.79</w:t>
            </w:r>
          </w:p>
        </w:tc>
        <w:tc>
          <w:tcPr>
            <w:tcW w:w="1701" w:type="dxa"/>
            <w:vAlign w:val="center"/>
          </w:tcPr>
          <w:p w14:paraId="5FF8868E" w14:textId="47D2B49B"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1,466.34</w:t>
            </w:r>
          </w:p>
        </w:tc>
        <w:tc>
          <w:tcPr>
            <w:tcW w:w="1984" w:type="dxa"/>
            <w:vAlign w:val="center"/>
          </w:tcPr>
          <w:p w14:paraId="5C4ECE26" w14:textId="7967893A"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676.53</w:t>
            </w:r>
          </w:p>
        </w:tc>
        <w:tc>
          <w:tcPr>
            <w:tcW w:w="1843" w:type="dxa"/>
            <w:vAlign w:val="center"/>
          </w:tcPr>
          <w:p w14:paraId="56477C78" w14:textId="14087DFE"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6,932.05</w:t>
            </w:r>
          </w:p>
        </w:tc>
      </w:tr>
      <w:tr w:rsidR="002225F6" w14:paraId="32E1D8C2" w14:textId="77777777" w:rsidTr="002225F6">
        <w:tc>
          <w:tcPr>
            <w:tcW w:w="1129" w:type="dxa"/>
            <w:vAlign w:val="center"/>
          </w:tcPr>
          <w:p w14:paraId="108A1D49" w14:textId="24D63FEF"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GOLD</w:t>
            </w:r>
          </w:p>
        </w:tc>
        <w:tc>
          <w:tcPr>
            <w:tcW w:w="1560" w:type="dxa"/>
            <w:vAlign w:val="center"/>
          </w:tcPr>
          <w:p w14:paraId="1D92346A" w14:textId="4A5F7250"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1,246.05</w:t>
            </w:r>
          </w:p>
        </w:tc>
        <w:tc>
          <w:tcPr>
            <w:tcW w:w="1701" w:type="dxa"/>
            <w:vAlign w:val="center"/>
          </w:tcPr>
          <w:p w14:paraId="0CF19782" w14:textId="4AB153A2"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729.54</w:t>
            </w:r>
          </w:p>
        </w:tc>
        <w:tc>
          <w:tcPr>
            <w:tcW w:w="1984" w:type="dxa"/>
            <w:vAlign w:val="center"/>
          </w:tcPr>
          <w:p w14:paraId="2B4E1744" w14:textId="0FE24F43"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255.10</w:t>
            </w:r>
          </w:p>
        </w:tc>
        <w:tc>
          <w:tcPr>
            <w:tcW w:w="1843" w:type="dxa"/>
            <w:vAlign w:val="center"/>
          </w:tcPr>
          <w:p w14:paraId="6DDF58A7" w14:textId="780775E8"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4,529.10</w:t>
            </w:r>
          </w:p>
        </w:tc>
      </w:tr>
      <w:tr w:rsidR="002225F6" w14:paraId="08771C80" w14:textId="77777777" w:rsidTr="002225F6">
        <w:tc>
          <w:tcPr>
            <w:tcW w:w="1129" w:type="dxa"/>
            <w:vAlign w:val="center"/>
          </w:tcPr>
          <w:p w14:paraId="6A98C0F7" w14:textId="51434ACE"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DXY</w:t>
            </w:r>
          </w:p>
        </w:tc>
        <w:tc>
          <w:tcPr>
            <w:tcW w:w="1560" w:type="dxa"/>
            <w:vAlign w:val="center"/>
          </w:tcPr>
          <w:p w14:paraId="012FAC2F" w14:textId="1D998EB0"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92.51</w:t>
            </w:r>
          </w:p>
        </w:tc>
        <w:tc>
          <w:tcPr>
            <w:tcW w:w="1701" w:type="dxa"/>
            <w:vAlign w:val="center"/>
          </w:tcPr>
          <w:p w14:paraId="1CED427F" w14:textId="2703C537"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11.20</w:t>
            </w:r>
          </w:p>
        </w:tc>
        <w:tc>
          <w:tcPr>
            <w:tcW w:w="1984" w:type="dxa"/>
            <w:vAlign w:val="center"/>
          </w:tcPr>
          <w:p w14:paraId="551CB730" w14:textId="56B18933"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71.33</w:t>
            </w:r>
          </w:p>
        </w:tc>
        <w:tc>
          <w:tcPr>
            <w:tcW w:w="1843" w:type="dxa"/>
            <w:vAlign w:val="center"/>
          </w:tcPr>
          <w:p w14:paraId="49AC827E" w14:textId="73E94889" w:rsidR="002225F6" w:rsidRDefault="002225F6" w:rsidP="002225F6">
            <w:pPr>
              <w:pStyle w:val="ListParagraph"/>
              <w:spacing w:before="0" w:after="160" w:line="278" w:lineRule="auto"/>
              <w:ind w:left="0" w:firstLine="0"/>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120.90</w:t>
            </w:r>
          </w:p>
        </w:tc>
      </w:tr>
    </w:tbl>
    <w:p w14:paraId="39B2C66B" w14:textId="18F914C0" w:rsidR="0033742D" w:rsidRPr="002225F6" w:rsidRDefault="0033742D" w:rsidP="00724C91">
      <w:pPr>
        <w:spacing w:before="0" w:after="160" w:line="278" w:lineRule="auto"/>
        <w:ind w:left="1134" w:firstLine="0"/>
        <w:jc w:val="both"/>
        <w:rPr>
          <w:rFonts w:ascii="Times New Roman" w:hAnsi="Times New Roman" w:cs="Times New Roman"/>
          <w:szCs w:val="22"/>
        </w:rPr>
      </w:pPr>
      <w:r w:rsidRPr="002225F6">
        <w:rPr>
          <w:rFonts w:ascii="Times New Roman" w:hAnsi="Times New Roman" w:cs="Times New Roman"/>
          <w:szCs w:val="22"/>
        </w:rPr>
        <w:t>Catatan: </w:t>
      </w:r>
      <w:r w:rsidR="00724C91" w:rsidRPr="002225F6">
        <w:rPr>
          <w:rFonts w:ascii="Times New Roman" w:hAnsi="Times New Roman" w:cs="Times New Roman"/>
          <w:szCs w:val="22"/>
        </w:rPr>
        <w:t>Nilai minimum WTI sebesar -37.63 USD/barel merefleksikan anomali historis pada April 2020 akibat pandemi COVID-19 dan perang harga minyak.</w:t>
      </w:r>
    </w:p>
    <w:p w14:paraId="1A72D6A2" w14:textId="30326929" w:rsidR="0033742D" w:rsidRPr="0033742D" w:rsidRDefault="0033742D" w:rsidP="00724C91">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Visualisasi Tren &amp; Heatmap Korelasi</w:t>
      </w:r>
    </w:p>
    <w:p w14:paraId="42A0BD93" w14:textId="77777777" w:rsidR="0033742D" w:rsidRPr="00724C91" w:rsidRDefault="0033742D" w:rsidP="00724C91">
      <w:pPr>
        <w:pStyle w:val="ListParagraph"/>
        <w:numPr>
          <w:ilvl w:val="0"/>
          <w:numId w:val="18"/>
        </w:numPr>
        <w:spacing w:before="0" w:after="160" w:line="278" w:lineRule="auto"/>
        <w:jc w:val="both"/>
        <w:rPr>
          <w:rFonts w:ascii="Times New Roman" w:eastAsiaTheme="minorHAnsi" w:hAnsi="Times New Roman" w:cs="Times New Roman"/>
          <w:color w:val="auto"/>
          <w:szCs w:val="22"/>
          <w:lang w:eastAsia="en-US"/>
        </w:rPr>
      </w:pPr>
      <w:r w:rsidRPr="00724C91">
        <w:rPr>
          <w:rFonts w:ascii="Times New Roman" w:eastAsiaTheme="minorHAnsi" w:hAnsi="Times New Roman" w:cs="Times New Roman"/>
          <w:color w:val="auto"/>
          <w:szCs w:val="22"/>
          <w:lang w:eastAsia="en-US"/>
        </w:rPr>
        <w:t>Tren WTI: Menampilkan siklus boom-bust (2008, 2014–2016, 2020) dan volatilitas ekstrem.</w:t>
      </w:r>
    </w:p>
    <w:p w14:paraId="2B957723" w14:textId="77777777" w:rsidR="0033742D" w:rsidRPr="00724C91" w:rsidRDefault="0033742D" w:rsidP="00724C91">
      <w:pPr>
        <w:pStyle w:val="ListParagraph"/>
        <w:numPr>
          <w:ilvl w:val="0"/>
          <w:numId w:val="18"/>
        </w:numPr>
        <w:spacing w:before="0" w:after="160" w:line="278" w:lineRule="auto"/>
        <w:jc w:val="both"/>
        <w:rPr>
          <w:rFonts w:ascii="Times New Roman" w:eastAsiaTheme="minorHAnsi" w:hAnsi="Times New Roman" w:cs="Times New Roman"/>
          <w:color w:val="auto"/>
          <w:szCs w:val="22"/>
          <w:lang w:eastAsia="en-US"/>
        </w:rPr>
      </w:pPr>
      <w:r w:rsidRPr="00724C91">
        <w:rPr>
          <w:rFonts w:ascii="Times New Roman" w:eastAsiaTheme="minorHAnsi" w:hAnsi="Times New Roman" w:cs="Times New Roman"/>
          <w:color w:val="auto"/>
          <w:szCs w:val="22"/>
          <w:lang w:eastAsia="en-US"/>
        </w:rPr>
        <w:t>Tren SP500 &amp; GOLD: Menunjukkan tren jangka panjang naik, dengan dip tajam saat krisis makroekonomi.</w:t>
      </w:r>
    </w:p>
    <w:p w14:paraId="20083F2D" w14:textId="77777777" w:rsidR="0033742D" w:rsidRPr="00724C91" w:rsidRDefault="0033742D" w:rsidP="00724C91">
      <w:pPr>
        <w:pStyle w:val="ListParagraph"/>
        <w:numPr>
          <w:ilvl w:val="0"/>
          <w:numId w:val="18"/>
        </w:numPr>
        <w:spacing w:before="0" w:after="160" w:line="278" w:lineRule="auto"/>
        <w:jc w:val="both"/>
        <w:rPr>
          <w:rFonts w:ascii="Times New Roman" w:eastAsiaTheme="minorHAnsi" w:hAnsi="Times New Roman" w:cs="Times New Roman"/>
          <w:color w:val="auto"/>
          <w:szCs w:val="22"/>
          <w:lang w:eastAsia="en-US"/>
        </w:rPr>
      </w:pPr>
      <w:r w:rsidRPr="00724C91">
        <w:rPr>
          <w:rFonts w:ascii="Times New Roman" w:eastAsiaTheme="minorHAnsi" w:hAnsi="Times New Roman" w:cs="Times New Roman"/>
          <w:color w:val="auto"/>
          <w:szCs w:val="22"/>
          <w:lang w:eastAsia="en-US"/>
        </w:rPr>
        <w:t>Tren DXY: Berfluktuasi terbalik secara teoritis terhadap komoditas.</w:t>
      </w:r>
    </w:p>
    <w:p w14:paraId="776C636E" w14:textId="77777777" w:rsidR="0033742D" w:rsidRDefault="0033742D" w:rsidP="00724C91">
      <w:pPr>
        <w:pStyle w:val="ListParagraph"/>
        <w:numPr>
          <w:ilvl w:val="0"/>
          <w:numId w:val="18"/>
        </w:numPr>
        <w:spacing w:before="0" w:after="160" w:line="278" w:lineRule="auto"/>
        <w:jc w:val="both"/>
        <w:rPr>
          <w:rFonts w:ascii="Times New Roman" w:eastAsiaTheme="minorHAnsi" w:hAnsi="Times New Roman" w:cs="Times New Roman"/>
          <w:color w:val="auto"/>
          <w:szCs w:val="22"/>
          <w:lang w:eastAsia="en-US"/>
        </w:rPr>
      </w:pPr>
      <w:r w:rsidRPr="00724C91">
        <w:rPr>
          <w:rFonts w:ascii="Times New Roman" w:eastAsiaTheme="minorHAnsi" w:hAnsi="Times New Roman" w:cs="Times New Roman"/>
          <w:color w:val="auto"/>
          <w:szCs w:val="22"/>
          <w:lang w:eastAsia="en-US"/>
        </w:rPr>
        <w:t>Matriks Korelasi Pearson:</w:t>
      </w:r>
    </w:p>
    <w:tbl>
      <w:tblPr>
        <w:tblStyle w:val="TableGrid0"/>
        <w:tblW w:w="0" w:type="auto"/>
        <w:tblInd w:w="1800" w:type="dxa"/>
        <w:tblLook w:val="04A0" w:firstRow="1" w:lastRow="0" w:firstColumn="1" w:lastColumn="0" w:noHBand="0" w:noVBand="1"/>
      </w:tblPr>
      <w:tblGrid>
        <w:gridCol w:w="2515"/>
        <w:gridCol w:w="2516"/>
        <w:gridCol w:w="2516"/>
      </w:tblGrid>
      <w:tr w:rsidR="00724C91" w14:paraId="79D63E6D" w14:textId="77777777" w:rsidTr="00724C91">
        <w:tc>
          <w:tcPr>
            <w:tcW w:w="2515" w:type="dxa"/>
            <w:vAlign w:val="center"/>
          </w:tcPr>
          <w:p w14:paraId="0936ADFA" w14:textId="14713AC8"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lastRenderedPageBreak/>
              <w:t>Hubungan</w:t>
            </w:r>
          </w:p>
        </w:tc>
        <w:tc>
          <w:tcPr>
            <w:tcW w:w="2516" w:type="dxa"/>
            <w:vAlign w:val="center"/>
          </w:tcPr>
          <w:p w14:paraId="11BCF4FD" w14:textId="56E8CA1F"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t>Korelasi</w:t>
            </w:r>
          </w:p>
        </w:tc>
        <w:tc>
          <w:tcPr>
            <w:tcW w:w="2516" w:type="dxa"/>
            <w:vAlign w:val="center"/>
          </w:tcPr>
          <w:p w14:paraId="190F44FC" w14:textId="3B9EDB55"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t>Interpretasi</w:t>
            </w:r>
          </w:p>
        </w:tc>
      </w:tr>
      <w:tr w:rsidR="00724C91" w14:paraId="5A3D270E" w14:textId="77777777" w:rsidTr="00724C91">
        <w:tc>
          <w:tcPr>
            <w:tcW w:w="2515" w:type="dxa"/>
            <w:vAlign w:val="center"/>
          </w:tcPr>
          <w:p w14:paraId="2B25D55C" w14:textId="58511E13"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t>WTI vs DXY</w:t>
            </w:r>
          </w:p>
        </w:tc>
        <w:tc>
          <w:tcPr>
            <w:tcW w:w="2516" w:type="dxa"/>
            <w:vAlign w:val="center"/>
          </w:tcPr>
          <w:p w14:paraId="6576E457" w14:textId="3AFBA2B5"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t>-0.58</w:t>
            </w:r>
          </w:p>
        </w:tc>
        <w:tc>
          <w:tcPr>
            <w:tcW w:w="2516" w:type="dxa"/>
            <w:vAlign w:val="center"/>
          </w:tcPr>
          <w:p w14:paraId="1D22C71B" w14:textId="629DD17E"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t>Negatif sedang (penguatan dolar tekan harga minyak)</w:t>
            </w:r>
          </w:p>
        </w:tc>
      </w:tr>
      <w:tr w:rsidR="00724C91" w14:paraId="123300DD" w14:textId="77777777" w:rsidTr="00724C91">
        <w:tc>
          <w:tcPr>
            <w:tcW w:w="2515" w:type="dxa"/>
            <w:vAlign w:val="center"/>
          </w:tcPr>
          <w:p w14:paraId="77103287" w14:textId="5B7AC383"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t>WTI vs GOLD</w:t>
            </w:r>
          </w:p>
        </w:tc>
        <w:tc>
          <w:tcPr>
            <w:tcW w:w="2516" w:type="dxa"/>
            <w:vAlign w:val="center"/>
          </w:tcPr>
          <w:p w14:paraId="436F5B34" w14:textId="0FAB5248"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t>+0.40</w:t>
            </w:r>
          </w:p>
        </w:tc>
        <w:tc>
          <w:tcPr>
            <w:tcW w:w="2516" w:type="dxa"/>
            <w:vAlign w:val="center"/>
          </w:tcPr>
          <w:p w14:paraId="220AC4F7" w14:textId="3A8057E4"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t>Positif sedang (terdorong inflasi &amp; ketidakpastian)</w:t>
            </w:r>
          </w:p>
        </w:tc>
      </w:tr>
      <w:tr w:rsidR="00724C91" w14:paraId="6D3BC99B" w14:textId="77777777" w:rsidTr="00724C91">
        <w:tc>
          <w:tcPr>
            <w:tcW w:w="2515" w:type="dxa"/>
            <w:vAlign w:val="center"/>
          </w:tcPr>
          <w:p w14:paraId="49B4DC8D" w14:textId="68B8A775"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t>WTI vs SP500</w:t>
            </w:r>
          </w:p>
        </w:tc>
        <w:tc>
          <w:tcPr>
            <w:tcW w:w="2516" w:type="dxa"/>
            <w:vAlign w:val="center"/>
          </w:tcPr>
          <w:p w14:paraId="3A7DE4E4" w14:textId="0EFD2759"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t>+0.16</w:t>
            </w:r>
          </w:p>
        </w:tc>
        <w:tc>
          <w:tcPr>
            <w:tcW w:w="2516" w:type="dxa"/>
            <w:vAlign w:val="center"/>
          </w:tcPr>
          <w:p w14:paraId="0AC2C63D" w14:textId="20DB2DC4" w:rsidR="00724C91" w:rsidRDefault="00724C91" w:rsidP="00724C91">
            <w:pPr>
              <w:pStyle w:val="ListParagraph"/>
              <w:spacing w:before="0" w:after="160" w:line="278" w:lineRule="auto"/>
              <w:ind w:left="0" w:firstLine="0"/>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szCs w:val="22"/>
                <w:lang w:eastAsia="en-US"/>
              </w:rPr>
              <w:t>Positif lemah (keterkaitan permintaan energi &amp; aktivitas ekonomi)</w:t>
            </w:r>
          </w:p>
        </w:tc>
      </w:tr>
    </w:tbl>
    <w:p w14:paraId="1356C072" w14:textId="77777777" w:rsidR="00724C91" w:rsidRPr="00724C91" w:rsidRDefault="00724C91" w:rsidP="00724C91">
      <w:pPr>
        <w:spacing w:before="0" w:after="160" w:line="278" w:lineRule="auto"/>
        <w:ind w:left="0" w:firstLine="0"/>
        <w:jc w:val="both"/>
        <w:rPr>
          <w:rFonts w:ascii="Times New Roman" w:eastAsiaTheme="minorHAnsi" w:hAnsi="Times New Roman" w:cs="Times New Roman"/>
          <w:color w:val="auto"/>
          <w:szCs w:val="22"/>
          <w:lang w:eastAsia="en-US"/>
        </w:rPr>
      </w:pPr>
    </w:p>
    <w:p w14:paraId="3136D7AC" w14:textId="77777777" w:rsidR="0033742D" w:rsidRPr="00724C91" w:rsidRDefault="0033742D" w:rsidP="00724C91">
      <w:pPr>
        <w:spacing w:before="0" w:after="160" w:line="278" w:lineRule="auto"/>
        <w:ind w:left="720" w:firstLine="414"/>
        <w:jc w:val="both"/>
        <w:rPr>
          <w:rFonts w:ascii="Times New Roman" w:hAnsi="Times New Roman" w:cs="Times New Roman"/>
          <w:szCs w:val="22"/>
        </w:rPr>
      </w:pPr>
      <w:r w:rsidRPr="00724C91">
        <w:rPr>
          <w:rFonts w:ascii="Times New Roman" w:hAnsi="Times New Roman" w:cs="Times New Roman"/>
          <w:szCs w:val="22"/>
        </w:rPr>
        <w:t>Hasil EDA selaras dengan literatur CESifo (2022) dan MSL (2019), mengonfirmasi bahwa dataset memiliki pola dependensi yang realistis untuk pemodelan multivariat.</w:t>
      </w:r>
    </w:p>
    <w:p w14:paraId="1FFCA8BE" w14:textId="65C3B4CC" w:rsidR="0033742D" w:rsidRPr="0033742D" w:rsidRDefault="0033742D" w:rsidP="00724C91">
      <w:pPr>
        <w:spacing w:after="160" w:line="278" w:lineRule="auto"/>
        <w:jc w:val="both"/>
        <w:rPr>
          <w:rFonts w:ascii="Times New Roman" w:eastAsiaTheme="minorHAnsi" w:hAnsi="Times New Roman" w:cs="Times New Roman"/>
          <w:szCs w:val="22"/>
          <w:lang w:eastAsia="en-US"/>
        </w:rPr>
      </w:pPr>
    </w:p>
    <w:p w14:paraId="3AE250E6" w14:textId="251CF60F" w:rsidR="0033742D" w:rsidRPr="00724C91" w:rsidRDefault="0033742D" w:rsidP="00724C91">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724C91">
        <w:rPr>
          <w:rFonts w:ascii="Times New Roman" w:eastAsiaTheme="minorHAnsi" w:hAnsi="Times New Roman" w:cs="Times New Roman"/>
          <w:color w:val="auto"/>
          <w:szCs w:val="22"/>
          <w:lang w:eastAsia="en-US"/>
        </w:rPr>
        <w:t>Rekayasa Fitur — Lag Features (Feature Engineering)</w:t>
      </w:r>
    </w:p>
    <w:p w14:paraId="17465329" w14:textId="77777777" w:rsidR="0033742D" w:rsidRDefault="0033742D" w:rsidP="00724C91">
      <w:pPr>
        <w:spacing w:before="0" w:after="160" w:line="278" w:lineRule="auto"/>
        <w:ind w:left="720" w:firstLine="414"/>
        <w:jc w:val="both"/>
        <w:rPr>
          <w:rFonts w:ascii="Times New Roman" w:hAnsi="Times New Roman" w:cs="Times New Roman"/>
          <w:szCs w:val="22"/>
        </w:rPr>
      </w:pPr>
      <w:r w:rsidRPr="00724C91">
        <w:rPr>
          <w:rFonts w:ascii="Times New Roman" w:hAnsi="Times New Roman" w:cs="Times New Roman"/>
          <w:szCs w:val="22"/>
        </w:rPr>
        <w:t>Untuk menangkap dependensi temporal secara eksplisit, dilakukan rekayasa fitur menggunakan lag pada variabel target WTI.</w:t>
      </w:r>
    </w:p>
    <w:tbl>
      <w:tblPr>
        <w:tblStyle w:val="TableGrid0"/>
        <w:tblW w:w="0" w:type="auto"/>
        <w:tblInd w:w="720" w:type="dxa"/>
        <w:tblLook w:val="04A0" w:firstRow="1" w:lastRow="0" w:firstColumn="1" w:lastColumn="0" w:noHBand="0" w:noVBand="1"/>
      </w:tblPr>
      <w:tblGrid>
        <w:gridCol w:w="2875"/>
        <w:gridCol w:w="2876"/>
        <w:gridCol w:w="2876"/>
      </w:tblGrid>
      <w:tr w:rsidR="00724C91" w14:paraId="1498220F" w14:textId="77777777" w:rsidTr="00724C91">
        <w:tc>
          <w:tcPr>
            <w:tcW w:w="2875" w:type="dxa"/>
            <w:vAlign w:val="center"/>
          </w:tcPr>
          <w:p w14:paraId="368BFC51" w14:textId="4CFE1BB3"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Fitur</w:t>
            </w:r>
          </w:p>
        </w:tc>
        <w:tc>
          <w:tcPr>
            <w:tcW w:w="2876" w:type="dxa"/>
            <w:vAlign w:val="center"/>
          </w:tcPr>
          <w:p w14:paraId="335B8080" w14:textId="4B796EFA"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Makna</w:t>
            </w:r>
          </w:p>
        </w:tc>
        <w:tc>
          <w:tcPr>
            <w:tcW w:w="2876" w:type="dxa"/>
            <w:vAlign w:val="center"/>
          </w:tcPr>
          <w:p w14:paraId="585D7681" w14:textId="0CA35B91"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Justifikasi</w:t>
            </w:r>
          </w:p>
        </w:tc>
      </w:tr>
      <w:tr w:rsidR="00724C91" w14:paraId="4F22DDD0" w14:textId="77777777" w:rsidTr="00724C91">
        <w:tc>
          <w:tcPr>
            <w:tcW w:w="2875" w:type="dxa"/>
            <w:vAlign w:val="center"/>
          </w:tcPr>
          <w:p w14:paraId="2B5F6235" w14:textId="71FC8EFB"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WTI_lag_1</w:t>
            </w:r>
          </w:p>
        </w:tc>
        <w:tc>
          <w:tcPr>
            <w:tcW w:w="2876" w:type="dxa"/>
            <w:vAlign w:val="center"/>
          </w:tcPr>
          <w:p w14:paraId="05474D0B" w14:textId="01063410"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Harga 1 hari sebelumnya (t-1)</w:t>
            </w:r>
          </w:p>
        </w:tc>
        <w:tc>
          <w:tcPr>
            <w:tcW w:w="2876" w:type="dxa"/>
            <w:vAlign w:val="center"/>
          </w:tcPr>
          <w:p w14:paraId="1B6364E8" w14:textId="66080D79"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Menangkap inersia pasar &amp; pola autoregresif jangka sangat pendek</w:t>
            </w:r>
          </w:p>
        </w:tc>
      </w:tr>
      <w:tr w:rsidR="00724C91" w14:paraId="02627603" w14:textId="77777777" w:rsidTr="00724C91">
        <w:tc>
          <w:tcPr>
            <w:tcW w:w="2875" w:type="dxa"/>
            <w:vAlign w:val="center"/>
          </w:tcPr>
          <w:p w14:paraId="07A463FC" w14:textId="5DF9B59F"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WTI_lag_3</w:t>
            </w:r>
          </w:p>
        </w:tc>
        <w:tc>
          <w:tcPr>
            <w:tcW w:w="2876" w:type="dxa"/>
            <w:vAlign w:val="center"/>
          </w:tcPr>
          <w:p w14:paraId="489C71D8" w14:textId="4FB971D2"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Harga 3 hari sebelumnya (t-3)</w:t>
            </w:r>
          </w:p>
        </w:tc>
        <w:tc>
          <w:tcPr>
            <w:tcW w:w="2876" w:type="dxa"/>
            <w:vAlign w:val="center"/>
          </w:tcPr>
          <w:p w14:paraId="34C84742" w14:textId="1850760F"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Merepresentasikan pola mingguan awal perdagangan</w:t>
            </w:r>
          </w:p>
        </w:tc>
      </w:tr>
      <w:tr w:rsidR="00724C91" w14:paraId="56316701" w14:textId="77777777" w:rsidTr="00724C91">
        <w:tc>
          <w:tcPr>
            <w:tcW w:w="2875" w:type="dxa"/>
            <w:vAlign w:val="center"/>
          </w:tcPr>
          <w:p w14:paraId="16560C10" w14:textId="61CDDF16"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WTI_lag_7</w:t>
            </w:r>
          </w:p>
        </w:tc>
        <w:tc>
          <w:tcPr>
            <w:tcW w:w="2876" w:type="dxa"/>
            <w:vAlign w:val="center"/>
          </w:tcPr>
          <w:p w14:paraId="7E19736A" w14:textId="31F42D54"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Harga 7 hari sebelumnya (t-7)</w:t>
            </w:r>
          </w:p>
        </w:tc>
        <w:tc>
          <w:tcPr>
            <w:tcW w:w="2876" w:type="dxa"/>
            <w:vAlign w:val="center"/>
          </w:tcPr>
          <w:p w14:paraId="316DA3CB" w14:textId="7F7BBD4A" w:rsidR="00724C91" w:rsidRDefault="00724C91" w:rsidP="00724C91">
            <w:pPr>
              <w:spacing w:before="0" w:after="160" w:line="278" w:lineRule="auto"/>
              <w:ind w:left="0" w:firstLine="0"/>
              <w:jc w:val="both"/>
              <w:rPr>
                <w:rFonts w:ascii="Times New Roman" w:hAnsi="Times New Roman" w:cs="Times New Roman"/>
                <w:szCs w:val="22"/>
              </w:rPr>
            </w:pPr>
            <w:r w:rsidRPr="0033742D">
              <w:rPr>
                <w:rFonts w:ascii="Times New Roman" w:eastAsiaTheme="minorHAnsi" w:hAnsi="Times New Roman" w:cs="Times New Roman"/>
                <w:szCs w:val="22"/>
                <w:lang w:eastAsia="en-US"/>
              </w:rPr>
              <w:t>Menangkap siklus mingguan penuh (sinkron dengan rilis data stok EIA)</w:t>
            </w:r>
          </w:p>
        </w:tc>
      </w:tr>
    </w:tbl>
    <w:p w14:paraId="36C08B4B" w14:textId="77777777" w:rsidR="00724C91" w:rsidRPr="00724C91" w:rsidRDefault="00724C91" w:rsidP="00724C91">
      <w:pPr>
        <w:spacing w:before="0" w:after="160" w:line="278" w:lineRule="auto"/>
        <w:ind w:left="0" w:firstLine="0"/>
        <w:jc w:val="both"/>
        <w:rPr>
          <w:rFonts w:ascii="Times New Roman" w:hAnsi="Times New Roman" w:cs="Times New Roman"/>
          <w:szCs w:val="22"/>
        </w:rPr>
      </w:pPr>
    </w:p>
    <w:p w14:paraId="5D9357F5" w14:textId="77777777" w:rsidR="00724C91" w:rsidRDefault="0033742D" w:rsidP="00724C91">
      <w:pPr>
        <w:spacing w:before="0" w:after="160" w:line="278" w:lineRule="auto"/>
        <w:ind w:left="720" w:firstLine="414"/>
        <w:rPr>
          <w:rFonts w:ascii="Times New Roman" w:hAnsi="Times New Roman" w:cs="Times New Roman"/>
          <w:szCs w:val="22"/>
        </w:rPr>
      </w:pPr>
      <w:r w:rsidRPr="00724C91">
        <w:rPr>
          <w:rFonts w:ascii="Times New Roman" w:hAnsi="Times New Roman" w:cs="Times New Roman"/>
          <w:szCs w:val="22"/>
        </w:rPr>
        <w:t>Implementasi: Menggunakan df['WTI'].shift(k) diikuti dropna() untuk menghapus 7 baris awal yang menghasilkan NaN.</w:t>
      </w:r>
    </w:p>
    <w:p w14:paraId="3EFD9067" w14:textId="77777777" w:rsidR="00724C91" w:rsidRPr="00724C91" w:rsidRDefault="0033742D" w:rsidP="00724C91">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szCs w:val="22"/>
          <w:lang w:eastAsia="en-US"/>
        </w:rPr>
      </w:pPr>
      <w:r w:rsidRPr="00724C91">
        <w:rPr>
          <w:rFonts w:ascii="Times New Roman" w:eastAsiaTheme="minorHAnsi" w:hAnsi="Times New Roman" w:cs="Times New Roman"/>
          <w:szCs w:val="22"/>
          <w:lang w:eastAsia="en-US"/>
        </w:rPr>
        <w:t>Hasil Dataset: 6.395 bari</w:t>
      </w:r>
      <w:r w:rsidR="00724C91" w:rsidRPr="00724C91">
        <w:rPr>
          <w:rFonts w:ascii="Times New Roman" w:eastAsiaTheme="minorHAnsi" w:hAnsi="Times New Roman" w:cs="Times New Roman"/>
          <w:szCs w:val="22"/>
          <w:lang w:eastAsia="en-US"/>
        </w:rPr>
        <w:t>s</w:t>
      </w:r>
    </w:p>
    <w:p w14:paraId="5E7DC035" w14:textId="0C151655" w:rsidR="00724C91" w:rsidRPr="00724C91" w:rsidRDefault="0033742D" w:rsidP="00724C91">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szCs w:val="22"/>
          <w:lang w:eastAsia="en-US"/>
        </w:rPr>
      </w:pPr>
      <w:r w:rsidRPr="00724C91">
        <w:rPr>
          <w:rFonts w:ascii="Times New Roman" w:eastAsiaTheme="minorHAnsi" w:hAnsi="Times New Roman" w:cs="Times New Roman"/>
          <w:szCs w:val="22"/>
          <w:lang w:eastAsia="en-US"/>
        </w:rPr>
        <w:t>fitur (WTI, SP500, GOLD, DXY, WTI_lag_1, WTI_lag_3, WTI_lag_7).</w:t>
      </w:r>
    </w:p>
    <w:p w14:paraId="3398F5A7" w14:textId="77777777" w:rsidR="00724C91" w:rsidRPr="00724C91" w:rsidRDefault="00724C91" w:rsidP="00724C91">
      <w:pPr>
        <w:pStyle w:val="ListParagraph"/>
        <w:spacing w:before="0" w:after="160" w:line="278" w:lineRule="auto"/>
        <w:ind w:left="1440" w:firstLine="0"/>
        <w:rPr>
          <w:rFonts w:ascii="Times New Roman" w:eastAsiaTheme="minorHAnsi" w:hAnsi="Times New Roman" w:cs="Times New Roman"/>
          <w:szCs w:val="22"/>
          <w:lang w:eastAsia="en-US"/>
        </w:rPr>
      </w:pPr>
    </w:p>
    <w:p w14:paraId="7A0F513D" w14:textId="09237CF0" w:rsidR="0033742D" w:rsidRPr="00724C91" w:rsidRDefault="0033742D" w:rsidP="00724C91">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724C91">
        <w:rPr>
          <w:rFonts w:ascii="Times New Roman" w:eastAsiaTheme="minorHAnsi" w:hAnsi="Times New Roman" w:cs="Times New Roman"/>
          <w:color w:val="auto"/>
          <w:szCs w:val="22"/>
          <w:lang w:eastAsia="en-US"/>
        </w:rPr>
        <w:t>Definisi Variabel Target dan Fitur</w:t>
      </w:r>
    </w:p>
    <w:p w14:paraId="38AC7EA2" w14:textId="77777777" w:rsidR="0033742D" w:rsidRPr="00724C91" w:rsidRDefault="0033742D" w:rsidP="00724C91">
      <w:pPr>
        <w:spacing w:before="0" w:after="160" w:line="278" w:lineRule="auto"/>
        <w:ind w:left="720" w:firstLine="414"/>
        <w:rPr>
          <w:rFonts w:ascii="Times New Roman" w:hAnsi="Times New Roman" w:cs="Times New Roman"/>
          <w:szCs w:val="22"/>
        </w:rPr>
      </w:pPr>
      <w:r w:rsidRPr="00724C91">
        <w:rPr>
          <w:rFonts w:ascii="Times New Roman" w:hAnsi="Times New Roman" w:cs="Times New Roman"/>
          <w:szCs w:val="22"/>
        </w:rPr>
        <w:t>Sebelum masuk ke tahap normalisasi, variabel dipisahkan secara eksplisit:</w:t>
      </w:r>
    </w:p>
    <w:p w14:paraId="4C82CEDD" w14:textId="77777777" w:rsidR="0033742D" w:rsidRPr="0033742D" w:rsidRDefault="0033742D" w:rsidP="00724C91">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Target (y): Kolom WTI (harga yang akan diprediksi).</w:t>
      </w:r>
    </w:p>
    <w:p w14:paraId="5146CF19" w14:textId="77777777" w:rsidR="0033742D" w:rsidRPr="0033742D" w:rsidRDefault="0033742D" w:rsidP="00724C91">
      <w:pPr>
        <w:pStyle w:val="ListParagraph"/>
        <w:numPr>
          <w:ilvl w:val="0"/>
          <w:numId w:val="7"/>
        </w:numPr>
        <w:tabs>
          <w:tab w:val="num" w:pos="720"/>
        </w:tabs>
        <w:spacing w:before="0" w:after="160" w:line="278" w:lineRule="auto"/>
        <w:ind w:left="1134"/>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lastRenderedPageBreak/>
        <w:t>Fitur Input (X): Seluruh DataFrame hasil rekayasa fitur (7 kolom).</w:t>
      </w:r>
    </w:p>
    <w:p w14:paraId="2483D19E" w14:textId="622024DB" w:rsidR="0033742D" w:rsidRPr="00724C91" w:rsidRDefault="0033742D" w:rsidP="00724C91">
      <w:pPr>
        <w:spacing w:before="0" w:after="160" w:line="278" w:lineRule="auto"/>
        <w:ind w:left="720" w:firstLine="414"/>
        <w:rPr>
          <w:rFonts w:ascii="Times New Roman" w:eastAsiaTheme="minorHAnsi" w:hAnsi="Times New Roman" w:cs="Times New Roman"/>
          <w:i/>
          <w:iCs/>
          <w:szCs w:val="22"/>
          <w:lang w:eastAsia="en-US"/>
        </w:rPr>
      </w:pPr>
      <w:r w:rsidRPr="00724C91">
        <w:rPr>
          <w:rFonts w:ascii="Times New Roman" w:hAnsi="Times New Roman" w:cs="Times New Roman"/>
          <w:i/>
          <w:iCs/>
          <w:szCs w:val="22"/>
        </w:rPr>
        <w:t>Prinsip Anti-Data Leakage: Normalisasi belum dilakukan secara global untuk keperluan pelatihan model. Scaler hanya akan di-fit pada data training, lalu parameter transformasinya diaplikasikan ke data testing. Normalisasi pada tahap ini dilakukan murni untuk dokumentasi eksplorasi dataset.</w:t>
      </w:r>
    </w:p>
    <w:p w14:paraId="700D6493" w14:textId="77777777" w:rsidR="0033742D" w:rsidRPr="0033742D" w:rsidRDefault="0033742D" w:rsidP="0033742D">
      <w:pPr>
        <w:spacing w:after="160" w:line="278" w:lineRule="auto"/>
        <w:ind w:left="720" w:firstLine="414"/>
        <w:jc w:val="both"/>
        <w:rPr>
          <w:rFonts w:ascii="Times New Roman" w:eastAsiaTheme="minorHAnsi" w:hAnsi="Times New Roman" w:cs="Times New Roman"/>
          <w:szCs w:val="22"/>
          <w:lang w:eastAsia="en-US"/>
        </w:rPr>
      </w:pPr>
      <w:r w:rsidRPr="0033742D">
        <w:rPr>
          <w:rFonts w:ascii="Times New Roman" w:eastAsiaTheme="minorHAnsi" w:hAnsi="Times New Roman" w:cs="Times New Roman"/>
          <w:szCs w:val="22"/>
          <w:lang w:eastAsia="en-US"/>
        </w:rPr>
        <w:t>Dataset disimpan sebagai:</w:t>
      </w:r>
    </w:p>
    <w:p w14:paraId="4CD854DC" w14:textId="77777777" w:rsidR="0033742D" w:rsidRPr="00724C91" w:rsidRDefault="0033742D" w:rsidP="00724C91">
      <w:pPr>
        <w:pStyle w:val="ListParagraph"/>
        <w:numPr>
          <w:ilvl w:val="0"/>
          <w:numId w:val="19"/>
        </w:numPr>
        <w:spacing w:before="0" w:after="160" w:line="278" w:lineRule="auto"/>
        <w:jc w:val="both"/>
        <w:rPr>
          <w:rFonts w:ascii="Times New Roman" w:eastAsiaTheme="minorHAnsi" w:hAnsi="Times New Roman" w:cs="Times New Roman"/>
          <w:color w:val="auto"/>
          <w:szCs w:val="22"/>
          <w:lang w:eastAsia="en-US"/>
        </w:rPr>
      </w:pPr>
      <w:r w:rsidRPr="00724C91">
        <w:rPr>
          <w:rFonts w:ascii="Times New Roman" w:eastAsiaTheme="minorHAnsi" w:hAnsi="Times New Roman" w:cs="Times New Roman"/>
          <w:color w:val="auto"/>
          <w:szCs w:val="22"/>
          <w:lang w:eastAsia="en-US"/>
        </w:rPr>
        <w:t>dataset_preprocessed_features.csv</w:t>
      </w:r>
    </w:p>
    <w:p w14:paraId="6F3B7F88" w14:textId="284084CA" w:rsidR="00724C91" w:rsidRDefault="0033742D" w:rsidP="00724C91">
      <w:pPr>
        <w:pStyle w:val="ListParagraph"/>
        <w:numPr>
          <w:ilvl w:val="0"/>
          <w:numId w:val="19"/>
        </w:numPr>
        <w:spacing w:before="0" w:after="160" w:line="278" w:lineRule="auto"/>
        <w:jc w:val="both"/>
        <w:rPr>
          <w:rFonts w:ascii="Times New Roman" w:eastAsiaTheme="minorHAnsi" w:hAnsi="Times New Roman" w:cs="Times New Roman"/>
          <w:color w:val="auto"/>
          <w:szCs w:val="22"/>
          <w:lang w:eastAsia="en-US"/>
        </w:rPr>
      </w:pPr>
      <w:r w:rsidRPr="00724C91">
        <w:rPr>
          <w:rFonts w:ascii="Times New Roman" w:eastAsiaTheme="minorHAnsi" w:hAnsi="Times New Roman" w:cs="Times New Roman"/>
          <w:color w:val="auto"/>
          <w:szCs w:val="22"/>
          <w:lang w:eastAsia="en-US"/>
        </w:rPr>
        <w:t>dataset_preprocessed_target.csv</w:t>
      </w:r>
    </w:p>
    <w:p w14:paraId="155BE713" w14:textId="77777777" w:rsidR="00724C91" w:rsidRPr="00724C91" w:rsidRDefault="00724C91" w:rsidP="00724C91">
      <w:pPr>
        <w:pStyle w:val="ListParagraph"/>
        <w:spacing w:before="0" w:after="160" w:line="278" w:lineRule="auto"/>
        <w:ind w:left="1800" w:firstLine="0"/>
        <w:jc w:val="both"/>
        <w:rPr>
          <w:rFonts w:ascii="Times New Roman" w:eastAsiaTheme="minorHAnsi" w:hAnsi="Times New Roman" w:cs="Times New Roman"/>
          <w:color w:val="auto"/>
          <w:szCs w:val="22"/>
          <w:lang w:eastAsia="en-US"/>
        </w:rPr>
      </w:pPr>
    </w:p>
    <w:p w14:paraId="682B5544" w14:textId="11EA460B" w:rsidR="0033742D" w:rsidRPr="00724C91" w:rsidRDefault="0033742D" w:rsidP="00724C91">
      <w:pPr>
        <w:pStyle w:val="ListParagraph"/>
        <w:numPr>
          <w:ilvl w:val="1"/>
          <w:numId w:val="6"/>
        </w:numPr>
        <w:spacing w:before="0" w:after="160" w:line="278" w:lineRule="auto"/>
        <w:ind w:left="720"/>
        <w:jc w:val="both"/>
        <w:rPr>
          <w:rFonts w:ascii="Times New Roman" w:eastAsiaTheme="minorHAnsi" w:hAnsi="Times New Roman" w:cs="Times New Roman"/>
          <w:color w:val="auto"/>
          <w:szCs w:val="22"/>
          <w:lang w:eastAsia="en-US"/>
        </w:rPr>
      </w:pPr>
      <w:r w:rsidRPr="00724C91">
        <w:rPr>
          <w:rFonts w:ascii="Times New Roman" w:eastAsiaTheme="minorHAnsi" w:hAnsi="Times New Roman" w:cs="Times New Roman"/>
          <w:color w:val="auto"/>
          <w:szCs w:val="22"/>
          <w:lang w:eastAsia="en-US"/>
        </w:rPr>
        <w:t>Scaling / Normalisasi Data</w:t>
      </w:r>
    </w:p>
    <w:p w14:paraId="61730E3C" w14:textId="77777777" w:rsidR="0033742D" w:rsidRPr="00724C91" w:rsidRDefault="0033742D" w:rsidP="00724C91">
      <w:pPr>
        <w:spacing w:before="0" w:after="160" w:line="278" w:lineRule="auto"/>
        <w:ind w:left="720" w:firstLine="414"/>
        <w:rPr>
          <w:rFonts w:ascii="Times New Roman" w:hAnsi="Times New Roman" w:cs="Times New Roman"/>
          <w:szCs w:val="22"/>
        </w:rPr>
      </w:pPr>
      <w:r w:rsidRPr="00724C91">
        <w:rPr>
          <w:rFonts w:ascii="Times New Roman" w:hAnsi="Times New Roman" w:cs="Times New Roman"/>
          <w:szCs w:val="22"/>
        </w:rPr>
        <w:t>Variabel dalam dataset memiliki skala yang sangat berbeda (misal: SP500 ≈ ribuan, DXY ≈ puluhan). Untuk menstabilkan konvergensi gradient descent pada LSTM, dilakukan normalisasi menggunakan MinMaxScaler ke rentang [0, 1].</w:t>
      </w:r>
    </w:p>
    <w:p w14:paraId="15F6004C" w14:textId="5282CDD2" w:rsidR="0033742D" w:rsidRDefault="0033742D" w:rsidP="0033742D">
      <w:pPr>
        <w:spacing w:after="160" w:line="278" w:lineRule="auto"/>
        <w:ind w:left="720" w:firstLine="414"/>
        <w:jc w:val="both"/>
        <w:rPr>
          <w:rFonts w:ascii="Times New Roman" w:eastAsiaTheme="minorHAnsi" w:hAnsi="Times New Roman" w:cs="Times New Roman"/>
          <w:szCs w:val="22"/>
          <w:lang w:eastAsia="en-US"/>
        </w:rPr>
      </w:pPr>
      <w:r w:rsidRPr="00724C91">
        <w:rPr>
          <w:rFonts w:ascii="Times New Roman" w:hAnsi="Times New Roman" w:cs="Times New Roman"/>
          <w:szCs w:val="22"/>
        </w:rPr>
        <w:t>Rumus Transformasi:</w:t>
      </w:r>
      <w:r w:rsidRPr="0033742D">
        <w:rPr>
          <w:rFonts w:ascii="Times New Roman" w:eastAsiaTheme="minorHAnsi" w:hAnsi="Times New Roman" w:cs="Times New Roman"/>
          <w:szCs w:val="22"/>
          <w:lang w:eastAsia="en-US"/>
        </w:rPr>
        <w:t> </w:t>
      </w:r>
    </w:p>
    <w:p w14:paraId="5374FC89" w14:textId="360B2C38" w:rsidR="00166763" w:rsidRPr="00166763" w:rsidRDefault="00000000" w:rsidP="00166763">
      <w:pPr>
        <w:spacing w:before="0" w:after="160" w:line="278" w:lineRule="auto"/>
        <w:ind w:left="720" w:firstLine="414"/>
        <w:rPr>
          <w:rFonts w:ascii="Times New Roman" w:eastAsiaTheme="minorEastAsia" w:hAnsi="Times New Roman" w:cs="Times New Roman"/>
          <w:szCs w:val="22"/>
          <w:lang w:eastAsia="en-US"/>
        </w:rPr>
      </w:pPr>
      <m:oMathPara>
        <m:oMath>
          <m:sSub>
            <m:sSubPr>
              <m:ctrlPr>
                <w:rPr>
                  <w:rFonts w:ascii="Cambria Math" w:hAnsi="Cambria Math" w:cs="Times New Roman"/>
                  <w:i/>
                  <w:szCs w:val="22"/>
                  <w:lang w:eastAsia="en-US"/>
                </w:rPr>
              </m:ctrlPr>
            </m:sSubPr>
            <m:e>
              <m:r>
                <w:rPr>
                  <w:rFonts w:ascii="Cambria Math" w:hAnsi="Cambria Math" w:cs="Times New Roman"/>
                  <w:szCs w:val="22"/>
                  <w:lang w:eastAsia="en-US"/>
                </w:rPr>
                <m:t>x</m:t>
              </m:r>
            </m:e>
            <m:sub>
              <m:r>
                <w:rPr>
                  <w:rFonts w:ascii="Cambria Math" w:hAnsi="Cambria Math" w:cs="Times New Roman"/>
                  <w:szCs w:val="22"/>
                  <w:lang w:eastAsia="en-US"/>
                </w:rPr>
                <m:t>new</m:t>
              </m:r>
            </m:sub>
          </m:sSub>
          <m:r>
            <w:rPr>
              <w:rFonts w:ascii="Cambria Math" w:hAnsi="Cambria Math" w:cs="Times New Roman"/>
              <w:szCs w:val="22"/>
              <w:lang w:eastAsia="en-US"/>
            </w:rPr>
            <m:t>=</m:t>
          </m:r>
          <m:f>
            <m:fPr>
              <m:ctrlPr>
                <w:rPr>
                  <w:rFonts w:ascii="Cambria Math" w:hAnsi="Cambria Math" w:cs="Times New Roman"/>
                  <w:szCs w:val="22"/>
                  <w:lang w:eastAsia="en-US"/>
                </w:rPr>
              </m:ctrlPr>
            </m:fPr>
            <m:num>
              <m:r>
                <w:rPr>
                  <w:rFonts w:ascii="Cambria Math" w:hAnsi="Cambria Math" w:cs="Times New Roman"/>
                  <w:szCs w:val="22"/>
                  <w:lang w:eastAsia="en-US"/>
                </w:rPr>
                <m:t>x-</m:t>
              </m:r>
              <m:sSub>
                <m:sSubPr>
                  <m:ctrlPr>
                    <w:rPr>
                      <w:rFonts w:ascii="Cambria Math" w:hAnsi="Cambria Math" w:cs="Times New Roman"/>
                      <w:i/>
                      <w:szCs w:val="22"/>
                      <w:lang w:eastAsia="en-US"/>
                    </w:rPr>
                  </m:ctrlPr>
                </m:sSubPr>
                <m:e>
                  <m:r>
                    <w:rPr>
                      <w:rFonts w:ascii="Cambria Math" w:hAnsi="Cambria Math" w:cs="Times New Roman"/>
                      <w:szCs w:val="22"/>
                      <w:lang w:eastAsia="en-US"/>
                    </w:rPr>
                    <m:t>x</m:t>
                  </m:r>
                </m:e>
                <m:sub>
                  <m:r>
                    <w:rPr>
                      <w:rFonts w:ascii="Cambria Math" w:hAnsi="Cambria Math" w:cs="Times New Roman"/>
                      <w:szCs w:val="22"/>
                      <w:lang w:eastAsia="en-US"/>
                    </w:rPr>
                    <m:t>min</m:t>
                  </m:r>
                </m:sub>
              </m:sSub>
              <m:ctrlPr>
                <w:rPr>
                  <w:rFonts w:ascii="Cambria Math" w:hAnsi="Cambria Math" w:cs="Times New Roman"/>
                  <w:i/>
                  <w:szCs w:val="22"/>
                  <w:lang w:eastAsia="en-US"/>
                </w:rPr>
              </m:ctrlPr>
            </m:num>
            <m:den>
              <m:sSub>
                <m:sSubPr>
                  <m:ctrlPr>
                    <w:rPr>
                      <w:rFonts w:ascii="Cambria Math" w:hAnsi="Cambria Math" w:cs="Times New Roman"/>
                      <w:i/>
                      <w:szCs w:val="22"/>
                      <w:lang w:eastAsia="en-US"/>
                    </w:rPr>
                  </m:ctrlPr>
                </m:sSubPr>
                <m:e>
                  <m:r>
                    <w:rPr>
                      <w:rFonts w:ascii="Cambria Math" w:hAnsi="Cambria Math" w:cs="Times New Roman"/>
                      <w:szCs w:val="22"/>
                      <w:lang w:eastAsia="en-US"/>
                    </w:rPr>
                    <m:t>x</m:t>
                  </m:r>
                </m:e>
                <m:sub>
                  <m:r>
                    <w:rPr>
                      <w:rFonts w:ascii="Cambria Math" w:hAnsi="Cambria Math" w:cs="Times New Roman"/>
                      <w:szCs w:val="22"/>
                      <w:lang w:eastAsia="en-US"/>
                    </w:rPr>
                    <m:t>max</m:t>
                  </m:r>
                </m:sub>
              </m:sSub>
              <m:r>
                <w:rPr>
                  <w:rFonts w:ascii="Cambria Math" w:hAnsi="Cambria Math" w:cs="Times New Roman"/>
                  <w:szCs w:val="22"/>
                  <w:lang w:eastAsia="en-US"/>
                </w:rPr>
                <m:t>-</m:t>
              </m:r>
              <m:sSub>
                <m:sSubPr>
                  <m:ctrlPr>
                    <w:rPr>
                      <w:rFonts w:ascii="Cambria Math" w:hAnsi="Cambria Math" w:cs="Times New Roman"/>
                      <w:i/>
                      <w:szCs w:val="22"/>
                      <w:lang w:eastAsia="en-US"/>
                    </w:rPr>
                  </m:ctrlPr>
                </m:sSubPr>
                <m:e>
                  <m:r>
                    <w:rPr>
                      <w:rFonts w:ascii="Cambria Math" w:hAnsi="Cambria Math" w:cs="Times New Roman"/>
                      <w:szCs w:val="22"/>
                      <w:lang w:eastAsia="en-US"/>
                    </w:rPr>
                    <m:t>x</m:t>
                  </m:r>
                </m:e>
                <m:sub>
                  <m:r>
                    <w:rPr>
                      <w:rFonts w:ascii="Cambria Math" w:hAnsi="Cambria Math" w:cs="Times New Roman"/>
                      <w:szCs w:val="22"/>
                      <w:lang w:eastAsia="en-US"/>
                    </w:rPr>
                    <m:t>min</m:t>
                  </m:r>
                </m:sub>
              </m:sSub>
              <m:ctrlPr>
                <w:rPr>
                  <w:rFonts w:ascii="Cambria Math" w:hAnsi="Cambria Math" w:cs="Times New Roman"/>
                  <w:i/>
                  <w:szCs w:val="22"/>
                  <w:lang w:eastAsia="en-US"/>
                </w:rPr>
              </m:ctrlPr>
            </m:den>
          </m:f>
        </m:oMath>
      </m:oMathPara>
    </w:p>
    <w:p w14:paraId="197617B0" w14:textId="16B4ED95" w:rsidR="0033742D" w:rsidRPr="00724C91" w:rsidRDefault="00166763" w:rsidP="00724C91">
      <w:pPr>
        <w:spacing w:before="0" w:after="160" w:line="278" w:lineRule="auto"/>
        <w:ind w:left="720" w:firstLine="414"/>
        <w:rPr>
          <w:rFonts w:ascii="Times New Roman" w:hAnsi="Times New Roman" w:cs="Times New Roman"/>
          <w:szCs w:val="22"/>
        </w:rPr>
      </w:pPr>
      <w:r>
        <w:rPr>
          <w:rFonts w:ascii="Times New Roman" w:hAnsi="Times New Roman" w:cs="Times New Roman"/>
          <w:szCs w:val="22"/>
        </w:rPr>
        <w:t>P</w:t>
      </w:r>
      <w:r w:rsidR="0033742D" w:rsidRPr="00724C91">
        <w:rPr>
          <w:rFonts w:ascii="Times New Roman" w:hAnsi="Times New Roman" w:cs="Times New Roman"/>
          <w:szCs w:val="22"/>
        </w:rPr>
        <w:t>emilihan MinMaxScaler:</w:t>
      </w:r>
    </w:p>
    <w:p w14:paraId="627777A1" w14:textId="77777777" w:rsidR="0033742D" w:rsidRPr="00166763" w:rsidRDefault="0033742D" w:rsidP="00166763">
      <w:pPr>
        <w:pStyle w:val="ListParagraph"/>
        <w:numPr>
          <w:ilvl w:val="0"/>
          <w:numId w:val="20"/>
        </w:numPr>
        <w:spacing w:before="0" w:after="160" w:line="278" w:lineRule="auto"/>
        <w:jc w:val="both"/>
        <w:rPr>
          <w:rFonts w:ascii="Times New Roman" w:eastAsiaTheme="minorHAnsi" w:hAnsi="Times New Roman" w:cs="Times New Roman"/>
          <w:color w:val="auto"/>
          <w:szCs w:val="22"/>
          <w:lang w:eastAsia="en-US"/>
        </w:rPr>
      </w:pPr>
      <w:r w:rsidRPr="00166763">
        <w:rPr>
          <w:rFonts w:ascii="Times New Roman" w:eastAsiaTheme="minorHAnsi" w:hAnsi="Times New Roman" w:cs="Times New Roman"/>
          <w:color w:val="auto"/>
          <w:szCs w:val="22"/>
          <w:lang w:eastAsia="en-US"/>
        </w:rPr>
        <w:t>Cocok untuk data runtun waktu karena mempertahankan bentuk distribusi asli.</w:t>
      </w:r>
    </w:p>
    <w:p w14:paraId="1C353A46" w14:textId="77777777" w:rsidR="0033742D" w:rsidRPr="00166763" w:rsidRDefault="0033742D" w:rsidP="00166763">
      <w:pPr>
        <w:pStyle w:val="ListParagraph"/>
        <w:numPr>
          <w:ilvl w:val="0"/>
          <w:numId w:val="20"/>
        </w:numPr>
        <w:tabs>
          <w:tab w:val="num" w:pos="720"/>
        </w:tabs>
        <w:spacing w:before="0" w:after="160" w:line="278" w:lineRule="auto"/>
        <w:jc w:val="both"/>
        <w:rPr>
          <w:rFonts w:ascii="Times New Roman" w:eastAsiaTheme="minorHAnsi" w:hAnsi="Times New Roman" w:cs="Times New Roman"/>
          <w:color w:val="auto"/>
          <w:szCs w:val="22"/>
          <w:lang w:eastAsia="en-US"/>
        </w:rPr>
      </w:pPr>
      <w:r w:rsidRPr="00166763">
        <w:rPr>
          <w:rFonts w:ascii="Times New Roman" w:eastAsiaTheme="minorHAnsi" w:hAnsi="Times New Roman" w:cs="Times New Roman"/>
          <w:color w:val="auto"/>
          <w:szCs w:val="22"/>
          <w:lang w:eastAsia="en-US"/>
        </w:rPr>
        <w:t>Kompatibel dengan arsitektur LSTM yang sensitif terhadap skala input.</w:t>
      </w:r>
    </w:p>
    <w:p w14:paraId="410960A7" w14:textId="77777777" w:rsidR="0033742D" w:rsidRPr="00166763" w:rsidRDefault="0033742D" w:rsidP="00166763">
      <w:pPr>
        <w:pStyle w:val="ListParagraph"/>
        <w:numPr>
          <w:ilvl w:val="0"/>
          <w:numId w:val="20"/>
        </w:numPr>
        <w:tabs>
          <w:tab w:val="num" w:pos="720"/>
        </w:tabs>
        <w:spacing w:before="0" w:after="160" w:line="278" w:lineRule="auto"/>
        <w:jc w:val="both"/>
        <w:rPr>
          <w:rFonts w:ascii="Times New Roman" w:eastAsiaTheme="minorHAnsi" w:hAnsi="Times New Roman" w:cs="Times New Roman"/>
          <w:color w:val="auto"/>
          <w:szCs w:val="22"/>
          <w:lang w:eastAsia="en-US"/>
        </w:rPr>
      </w:pPr>
      <w:r w:rsidRPr="00166763">
        <w:rPr>
          <w:rFonts w:ascii="Times New Roman" w:eastAsiaTheme="minorHAnsi" w:hAnsi="Times New Roman" w:cs="Times New Roman"/>
          <w:color w:val="auto"/>
          <w:szCs w:val="22"/>
          <w:lang w:eastAsia="en-US"/>
        </w:rPr>
        <w:t>Output ternormalisasi mempercepat konvergensi dan mencegah dominasi fitur berskala besar.</w:t>
      </w:r>
    </w:p>
    <w:p w14:paraId="1FCDBC9D" w14:textId="77777777" w:rsidR="0033742D" w:rsidRPr="00724C91" w:rsidRDefault="0033742D" w:rsidP="00724C91">
      <w:pPr>
        <w:spacing w:before="0" w:after="160" w:line="278" w:lineRule="auto"/>
        <w:ind w:left="720" w:firstLine="414"/>
        <w:rPr>
          <w:rFonts w:ascii="Times New Roman" w:hAnsi="Times New Roman" w:cs="Times New Roman"/>
          <w:szCs w:val="22"/>
        </w:rPr>
      </w:pPr>
      <w:r w:rsidRPr="00724C91">
        <w:rPr>
          <w:rFonts w:ascii="Times New Roman" w:hAnsi="Times New Roman" w:cs="Times New Roman"/>
          <w:szCs w:val="22"/>
        </w:rPr>
        <w:t>Hasil: Seluruh 6.395 baris dan 7 fitur berhasil ditransformasi ke rentang 0.00 – 1.00 tanpa kehilangan informasi temporal. File disimpan sebagai dataset_normalized.csv sebagai deliverable Milestone 2.</w:t>
      </w:r>
    </w:p>
    <w:p w14:paraId="7F8E64FE" w14:textId="23AF28F4" w:rsidR="00AF2C48" w:rsidRPr="0033742D" w:rsidRDefault="00524B5A" w:rsidP="00AF2C48">
      <w:pPr>
        <w:spacing w:before="0" w:after="160" w:line="278" w:lineRule="auto"/>
        <w:ind w:left="720" w:firstLine="414"/>
        <w:jc w:val="both"/>
        <w:rPr>
          <w:rFonts w:ascii="Times New Roman" w:eastAsiaTheme="minorHAnsi" w:hAnsi="Times New Roman" w:cs="Times New Roman"/>
          <w:color w:val="auto"/>
          <w:szCs w:val="22"/>
          <w:lang w:eastAsia="en-US"/>
        </w:rPr>
      </w:pPr>
      <w:r w:rsidRPr="0033742D">
        <w:rPr>
          <w:rFonts w:ascii="Times New Roman" w:eastAsiaTheme="minorHAnsi" w:hAnsi="Times New Roman" w:cs="Times New Roman"/>
          <w:color w:val="auto"/>
          <w:szCs w:val="22"/>
          <w:lang w:eastAsia="en-US"/>
        </w:rPr>
        <w:br/>
      </w:r>
    </w:p>
    <w:p w14:paraId="1461DA1F" w14:textId="77777777" w:rsidR="00AF2C48" w:rsidRPr="0033742D" w:rsidRDefault="00AF2C48" w:rsidP="009C4682">
      <w:pPr>
        <w:spacing w:before="0" w:after="160" w:line="278" w:lineRule="auto"/>
        <w:ind w:left="720" w:firstLine="414"/>
        <w:jc w:val="both"/>
        <w:rPr>
          <w:rFonts w:ascii="Times New Roman" w:eastAsiaTheme="minorHAnsi" w:hAnsi="Times New Roman" w:cs="Times New Roman"/>
          <w:color w:val="auto"/>
          <w:szCs w:val="22"/>
          <w:lang w:eastAsia="en-US"/>
        </w:rPr>
      </w:pPr>
    </w:p>
    <w:sdt>
      <w:sdtPr>
        <w:rPr>
          <w:rFonts w:ascii="Times New Roman" w:eastAsiaTheme="minorHAnsi" w:hAnsi="Times New Roman" w:cs="Times New Roman"/>
          <w:szCs w:val="22"/>
          <w:lang w:eastAsia="en-US"/>
        </w:rPr>
        <w:tag w:val="MENDELEY_BIBLIOGRAPHY"/>
        <w:id w:val="1367566327"/>
        <w:placeholder>
          <w:docPart w:val="DefaultPlaceholder_-1854013440"/>
        </w:placeholder>
      </w:sdtPr>
      <w:sdtContent>
        <w:p w14:paraId="39F0547C" w14:textId="77777777" w:rsidR="00AF2C48" w:rsidRPr="0033742D" w:rsidRDefault="00AF2C48">
          <w:pPr>
            <w:autoSpaceDE w:val="0"/>
            <w:autoSpaceDN w:val="0"/>
            <w:ind w:hanging="480"/>
            <w:divId w:val="750080917"/>
            <w:rPr>
              <w:rFonts w:ascii="Times New Roman" w:eastAsia="Times New Roman" w:hAnsi="Times New Roman" w:cs="Times New Roman"/>
              <w:kern w:val="0"/>
              <w:szCs w:val="22"/>
              <w14:ligatures w14:val="none"/>
            </w:rPr>
          </w:pPr>
          <w:r w:rsidRPr="0033742D">
            <w:rPr>
              <w:rFonts w:ascii="Times New Roman" w:eastAsia="Times New Roman" w:hAnsi="Times New Roman" w:cs="Times New Roman"/>
              <w:szCs w:val="22"/>
            </w:rPr>
            <w:t xml:space="preserve">Kondoz, M., Bora, I., Kirikkaleli, D., &amp; Athari, S. A. (2019). Testing the volatility spillover between crude oil price and the U.S. stock market returns. </w:t>
          </w:r>
          <w:r w:rsidRPr="0033742D">
            <w:rPr>
              <w:rFonts w:ascii="Times New Roman" w:eastAsia="Times New Roman" w:hAnsi="Times New Roman" w:cs="Times New Roman"/>
              <w:i/>
              <w:iCs/>
              <w:szCs w:val="22"/>
            </w:rPr>
            <w:t>Management Science Letters</w:t>
          </w:r>
          <w:r w:rsidRPr="0033742D">
            <w:rPr>
              <w:rFonts w:ascii="Times New Roman" w:eastAsia="Times New Roman" w:hAnsi="Times New Roman" w:cs="Times New Roman"/>
              <w:szCs w:val="22"/>
            </w:rPr>
            <w:t xml:space="preserve">, </w:t>
          </w:r>
          <w:r w:rsidRPr="0033742D">
            <w:rPr>
              <w:rFonts w:ascii="Times New Roman" w:eastAsia="Times New Roman" w:hAnsi="Times New Roman" w:cs="Times New Roman"/>
              <w:i/>
              <w:iCs/>
              <w:szCs w:val="22"/>
            </w:rPr>
            <w:t>9</w:t>
          </w:r>
          <w:r w:rsidRPr="0033742D">
            <w:rPr>
              <w:rFonts w:ascii="Times New Roman" w:eastAsia="Times New Roman" w:hAnsi="Times New Roman" w:cs="Times New Roman"/>
              <w:szCs w:val="22"/>
            </w:rPr>
            <w:t>(8), 1221–1230. https://doi.org/10.5267/j.msl.2019.4.019</w:t>
          </w:r>
        </w:p>
        <w:p w14:paraId="53E5D8CF" w14:textId="77777777" w:rsidR="00AF2C48" w:rsidRPr="0033742D" w:rsidRDefault="00AF2C48">
          <w:pPr>
            <w:autoSpaceDE w:val="0"/>
            <w:autoSpaceDN w:val="0"/>
            <w:ind w:hanging="480"/>
            <w:divId w:val="725108137"/>
            <w:rPr>
              <w:rFonts w:ascii="Times New Roman" w:eastAsia="Times New Roman" w:hAnsi="Times New Roman" w:cs="Times New Roman"/>
              <w:szCs w:val="22"/>
            </w:rPr>
          </w:pPr>
          <w:r w:rsidRPr="0033742D">
            <w:rPr>
              <w:rFonts w:ascii="Times New Roman" w:eastAsia="Times New Roman" w:hAnsi="Times New Roman" w:cs="Times New Roman"/>
              <w:szCs w:val="22"/>
            </w:rPr>
            <w:t xml:space="preserve">Le, Y., Wen, J., Wu, Y., Liu, J., &amp; Zhu, Y. (2024). Investigating factors influencing oil volatility: a GARCH-MIDAS model analysis. </w:t>
          </w:r>
          <w:r w:rsidRPr="0033742D">
            <w:rPr>
              <w:rFonts w:ascii="Times New Roman" w:eastAsia="Times New Roman" w:hAnsi="Times New Roman" w:cs="Times New Roman"/>
              <w:i/>
              <w:iCs/>
              <w:szCs w:val="22"/>
            </w:rPr>
            <w:t>Frontiers in Energy Research</w:t>
          </w:r>
          <w:r w:rsidRPr="0033742D">
            <w:rPr>
              <w:rFonts w:ascii="Times New Roman" w:eastAsia="Times New Roman" w:hAnsi="Times New Roman" w:cs="Times New Roman"/>
              <w:szCs w:val="22"/>
            </w:rPr>
            <w:t xml:space="preserve">, </w:t>
          </w:r>
          <w:r w:rsidRPr="0033742D">
            <w:rPr>
              <w:rFonts w:ascii="Times New Roman" w:eastAsia="Times New Roman" w:hAnsi="Times New Roman" w:cs="Times New Roman"/>
              <w:i/>
              <w:iCs/>
              <w:szCs w:val="22"/>
            </w:rPr>
            <w:t>12</w:t>
          </w:r>
          <w:r w:rsidRPr="0033742D">
            <w:rPr>
              <w:rFonts w:ascii="Times New Roman" w:eastAsia="Times New Roman" w:hAnsi="Times New Roman" w:cs="Times New Roman"/>
              <w:szCs w:val="22"/>
            </w:rPr>
            <w:t>. https://doi.org/10.3389/fenrg.2024.1392905</w:t>
          </w:r>
        </w:p>
        <w:p w14:paraId="33BB6D25" w14:textId="77777777" w:rsidR="00AF2C48" w:rsidRPr="0033742D" w:rsidRDefault="00AF2C48">
          <w:pPr>
            <w:autoSpaceDE w:val="0"/>
            <w:autoSpaceDN w:val="0"/>
            <w:ind w:hanging="480"/>
            <w:divId w:val="1656033945"/>
            <w:rPr>
              <w:rFonts w:ascii="Times New Roman" w:eastAsia="Times New Roman" w:hAnsi="Times New Roman" w:cs="Times New Roman"/>
              <w:szCs w:val="22"/>
            </w:rPr>
          </w:pPr>
          <w:r w:rsidRPr="0033742D">
            <w:rPr>
              <w:rFonts w:ascii="Times New Roman" w:eastAsia="Times New Roman" w:hAnsi="Times New Roman" w:cs="Times New Roman"/>
              <w:szCs w:val="22"/>
            </w:rPr>
            <w:t xml:space="preserve">Salem, L. Ben, Nouira, R., Jeguirim, K., &amp; Rault, C. (2022). </w:t>
          </w:r>
          <w:r w:rsidRPr="0033742D">
            <w:rPr>
              <w:rFonts w:ascii="Times New Roman" w:eastAsia="Times New Roman" w:hAnsi="Times New Roman" w:cs="Times New Roman"/>
              <w:i/>
              <w:iCs/>
              <w:szCs w:val="22"/>
            </w:rPr>
            <w:t>The Determinants of Crude Oil Prices: Evidence from ARDL and Nonlinear ARDL Approaches</w:t>
          </w:r>
          <w:r w:rsidRPr="0033742D">
            <w:rPr>
              <w:rFonts w:ascii="Times New Roman" w:eastAsia="Times New Roman" w:hAnsi="Times New Roman" w:cs="Times New Roman"/>
              <w:szCs w:val="22"/>
            </w:rPr>
            <w:t>. www.RePEc.org</w:t>
          </w:r>
        </w:p>
        <w:p w14:paraId="446A2705" w14:textId="77777777" w:rsidR="00524B5A" w:rsidRPr="0033742D" w:rsidRDefault="00AF2C48" w:rsidP="00524B5A">
          <w:pPr>
            <w:spacing w:after="160" w:line="278" w:lineRule="auto"/>
            <w:ind w:left="720" w:firstLine="414"/>
            <w:jc w:val="both"/>
            <w:rPr>
              <w:rFonts w:ascii="Times New Roman" w:eastAsiaTheme="minorHAnsi" w:hAnsi="Times New Roman" w:cs="Times New Roman"/>
              <w:szCs w:val="22"/>
              <w:lang w:eastAsia="en-US"/>
            </w:rPr>
          </w:pPr>
          <w:r w:rsidRPr="0033742D">
            <w:rPr>
              <w:rFonts w:ascii="Times New Roman" w:eastAsia="Times New Roman" w:hAnsi="Times New Roman" w:cs="Times New Roman"/>
              <w:szCs w:val="22"/>
            </w:rPr>
            <w:t> </w:t>
          </w:r>
        </w:p>
      </w:sdtContent>
    </w:sdt>
    <w:p w14:paraId="39035FF4"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color w:val="auto"/>
          <w:szCs w:val="22"/>
          <w:lang w:eastAsia="en-US"/>
        </w:rPr>
        <w:lastRenderedPageBreak/>
        <w:t xml:space="preserve">Untuk dokumen laporan (Laporan Resmi/Paper), tentu penjelasannya tidak boleh sependek di </w:t>
      </w:r>
      <w:r w:rsidRPr="005470A0">
        <w:rPr>
          <w:rFonts w:ascii="Times New Roman" w:eastAsiaTheme="minorHAnsi" w:hAnsi="Times New Roman" w:cs="Times New Roman"/>
          <w:i/>
          <w:iCs/>
          <w:color w:val="auto"/>
          <w:szCs w:val="22"/>
          <w:lang w:eastAsia="en-US"/>
        </w:rPr>
        <w:t>private comment</w:t>
      </w:r>
      <w:r w:rsidRPr="005470A0">
        <w:rPr>
          <w:rFonts w:ascii="Times New Roman" w:eastAsiaTheme="minorHAnsi" w:hAnsi="Times New Roman" w:cs="Times New Roman"/>
          <w:color w:val="auto"/>
          <w:szCs w:val="22"/>
          <w:lang w:eastAsia="en-US"/>
        </w:rPr>
        <w:t>. Harus menggunakan bahasa akademis yang formal, memiliki sitasi yang jelas, dan terstruktur dalam subbab metodologi.</w:t>
      </w:r>
    </w:p>
    <w:p w14:paraId="5184E6A9"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color w:val="auto"/>
          <w:szCs w:val="22"/>
          <w:lang w:eastAsia="en-US"/>
        </w:rPr>
        <w:t xml:space="preserve">Sebagai dosen, saya ingatkan: </w:t>
      </w:r>
      <w:r w:rsidRPr="005470A0">
        <w:rPr>
          <w:rFonts w:ascii="Times New Roman" w:eastAsiaTheme="minorHAnsi" w:hAnsi="Times New Roman" w:cs="Times New Roman"/>
          <w:b/>
          <w:bCs/>
          <w:color w:val="auto"/>
          <w:szCs w:val="22"/>
          <w:lang w:eastAsia="en-US"/>
        </w:rPr>
        <w:t>jangan asal copas tanpa merapikan formatnya.</w:t>
      </w:r>
      <w:r w:rsidRPr="005470A0">
        <w:rPr>
          <w:rFonts w:ascii="Times New Roman" w:eastAsiaTheme="minorHAnsi" w:hAnsi="Times New Roman" w:cs="Times New Roman"/>
          <w:color w:val="auto"/>
          <w:szCs w:val="22"/>
          <w:lang w:eastAsia="en-US"/>
        </w:rPr>
        <w:t xml:space="preserve"> Bagian ini harus dimasukkan ke dalam </w:t>
      </w:r>
      <w:r w:rsidRPr="005470A0">
        <w:rPr>
          <w:rFonts w:ascii="Times New Roman" w:eastAsiaTheme="minorHAnsi" w:hAnsi="Times New Roman" w:cs="Times New Roman"/>
          <w:b/>
          <w:bCs/>
          <w:color w:val="auto"/>
          <w:szCs w:val="22"/>
          <w:lang w:eastAsia="en-US"/>
        </w:rPr>
        <w:t>Bab Metodologi atau Bab Implementasi (bagian Pemrosesan Data / Konfigurasi Model)</w:t>
      </w:r>
      <w:r w:rsidRPr="005470A0">
        <w:rPr>
          <w:rFonts w:ascii="Times New Roman" w:eastAsiaTheme="minorHAnsi" w:hAnsi="Times New Roman" w:cs="Times New Roman"/>
          <w:color w:val="auto"/>
          <w:szCs w:val="22"/>
          <w:lang w:eastAsia="en-US"/>
        </w:rPr>
        <w:t>.</w:t>
      </w:r>
    </w:p>
    <w:p w14:paraId="7291C51F"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color w:val="auto"/>
          <w:szCs w:val="22"/>
          <w:lang w:eastAsia="en-US"/>
        </w:rPr>
        <w:t>Berikut adalah draf detail, ilmiah, dan objektif yang layak dimasukkan ke dalam laporan kelompok kalian. Perhatikan strukturnya:</w:t>
      </w:r>
    </w:p>
    <w:p w14:paraId="5D442D65"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color w:val="auto"/>
          <w:szCs w:val="22"/>
          <w:lang w:eastAsia="en-US"/>
        </w:rPr>
        <w:pict w14:anchorId="20A39203">
          <v:rect id="_x0000_i1037" style="width:0;height:1.5pt" o:hralign="center" o:hrstd="t" o:hrnoshade="t" o:hr="t" fillcolor="gray" stroked="f"/>
        </w:pict>
      </w:r>
    </w:p>
    <w:p w14:paraId="1B8E74B4" w14:textId="77777777" w:rsidR="005470A0" w:rsidRPr="005470A0" w:rsidRDefault="005470A0" w:rsidP="005470A0">
      <w:pPr>
        <w:spacing w:after="160" w:line="278" w:lineRule="auto"/>
        <w:ind w:left="720" w:firstLine="414"/>
        <w:jc w:val="both"/>
        <w:rPr>
          <w:rFonts w:ascii="Times New Roman" w:eastAsiaTheme="minorHAnsi" w:hAnsi="Times New Roman" w:cs="Times New Roman"/>
          <w:b/>
          <w:bCs/>
          <w:color w:val="auto"/>
          <w:szCs w:val="22"/>
          <w:lang w:eastAsia="en-US"/>
        </w:rPr>
      </w:pPr>
      <w:r w:rsidRPr="005470A0">
        <w:rPr>
          <w:rFonts w:ascii="Times New Roman" w:eastAsiaTheme="minorHAnsi" w:hAnsi="Times New Roman" w:cs="Times New Roman"/>
          <w:b/>
          <w:bCs/>
          <w:color w:val="auto"/>
          <w:szCs w:val="22"/>
          <w:lang w:eastAsia="en-US"/>
        </w:rPr>
        <w:t>[DRAF UNTUK LAPORAN - BAB METODOLOGI]</w:t>
      </w:r>
    </w:p>
    <w:p w14:paraId="431FDE47"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b/>
          <w:bCs/>
          <w:color w:val="auto"/>
          <w:szCs w:val="22"/>
          <w:lang w:eastAsia="en-US"/>
        </w:rPr>
        <w:t>3.X Penentuan Ukuran Jendela Geser (</w:t>
      </w:r>
      <w:r w:rsidRPr="005470A0">
        <w:rPr>
          <w:rFonts w:ascii="Times New Roman" w:eastAsiaTheme="minorHAnsi" w:hAnsi="Times New Roman" w:cs="Times New Roman"/>
          <w:b/>
          <w:bCs/>
          <w:i/>
          <w:iCs/>
          <w:color w:val="auto"/>
          <w:szCs w:val="22"/>
          <w:lang w:eastAsia="en-US"/>
        </w:rPr>
        <w:t>Sliding Window Size / SEQ_LENGTH</w:t>
      </w:r>
      <w:r w:rsidRPr="005470A0">
        <w:rPr>
          <w:rFonts w:ascii="Times New Roman" w:eastAsiaTheme="minorHAnsi" w:hAnsi="Times New Roman" w:cs="Times New Roman"/>
          <w:b/>
          <w:bCs/>
          <w:color w:val="auto"/>
          <w:szCs w:val="22"/>
          <w:lang w:eastAsia="en-US"/>
        </w:rPr>
        <w:t>)</w:t>
      </w:r>
    </w:p>
    <w:p w14:paraId="389F2F2C"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color w:val="auto"/>
          <w:szCs w:val="22"/>
          <w:lang w:eastAsia="en-US"/>
        </w:rPr>
        <w:t xml:space="preserve">Dalam mentransformasikan dataset runtun waktu multivariat menjadi tensor 3D yang kompatibel dengan arsitektur </w:t>
      </w:r>
      <w:r w:rsidRPr="005470A0">
        <w:rPr>
          <w:rFonts w:ascii="Times New Roman" w:eastAsiaTheme="minorHAnsi" w:hAnsi="Times New Roman" w:cs="Times New Roman"/>
          <w:i/>
          <w:iCs/>
          <w:color w:val="auto"/>
          <w:szCs w:val="22"/>
          <w:lang w:eastAsia="en-US"/>
        </w:rPr>
        <w:t>Recurrent Neural Network</w:t>
      </w:r>
      <w:r w:rsidRPr="005470A0">
        <w:rPr>
          <w:rFonts w:ascii="Times New Roman" w:eastAsiaTheme="minorHAnsi" w:hAnsi="Times New Roman" w:cs="Times New Roman"/>
          <w:color w:val="auto"/>
          <w:szCs w:val="22"/>
          <w:lang w:eastAsia="en-US"/>
        </w:rPr>
        <w:t xml:space="preserve"> (RNN) khususnya </w:t>
      </w:r>
      <w:r w:rsidRPr="005470A0">
        <w:rPr>
          <w:rFonts w:ascii="Times New Roman" w:eastAsiaTheme="minorHAnsi" w:hAnsi="Times New Roman" w:cs="Times New Roman"/>
          <w:i/>
          <w:iCs/>
          <w:color w:val="auto"/>
          <w:szCs w:val="22"/>
          <w:lang w:eastAsia="en-US"/>
        </w:rPr>
        <w:t>Long Short-Term Memory</w:t>
      </w:r>
      <w:r w:rsidRPr="005470A0">
        <w:rPr>
          <w:rFonts w:ascii="Times New Roman" w:eastAsiaTheme="minorHAnsi" w:hAnsi="Times New Roman" w:cs="Times New Roman"/>
          <w:color w:val="auto"/>
          <w:szCs w:val="22"/>
          <w:lang w:eastAsia="en-US"/>
        </w:rPr>
        <w:t xml:space="preserve"> (LSTM), penentuan ukuran jendela geser (</w:t>
      </w:r>
      <w:r w:rsidRPr="005470A0">
        <w:rPr>
          <w:rFonts w:ascii="Times New Roman" w:eastAsiaTheme="minorHAnsi" w:hAnsi="Times New Roman" w:cs="Times New Roman"/>
          <w:i/>
          <w:iCs/>
          <w:color w:val="auto"/>
          <w:szCs w:val="22"/>
          <w:lang w:eastAsia="en-US"/>
        </w:rPr>
        <w:t>sequence length</w:t>
      </w:r>
      <w:r w:rsidRPr="005470A0">
        <w:rPr>
          <w:rFonts w:ascii="Times New Roman" w:eastAsiaTheme="minorHAnsi" w:hAnsi="Times New Roman" w:cs="Times New Roman"/>
          <w:color w:val="auto"/>
          <w:szCs w:val="22"/>
          <w:lang w:eastAsia="en-US"/>
        </w:rPr>
        <w:t xml:space="preserve"> atau $SEQ\_LENGTH$) merupakan tahapan krusial. Penelitian ini menetapkan nilai $SEQ\_LENGTH = 30$ hari. Landasan logis dan teoritis pemilihan nilai tersebut dijabarkan sebagai berikut:</w:t>
      </w:r>
    </w:p>
    <w:p w14:paraId="4DE17B9B" w14:textId="77777777" w:rsidR="005470A0" w:rsidRPr="005470A0" w:rsidRDefault="005470A0" w:rsidP="005470A0">
      <w:pPr>
        <w:numPr>
          <w:ilvl w:val="0"/>
          <w:numId w:val="21"/>
        </w:numPr>
        <w:spacing w:after="160" w:line="278" w:lineRule="auto"/>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b/>
          <w:bCs/>
          <w:color w:val="auto"/>
          <w:szCs w:val="22"/>
          <w:lang w:eastAsia="en-US"/>
        </w:rPr>
        <w:t>Representasi Siklus Operasional Kontrak Bulanan Pasar Komoditas</w:t>
      </w:r>
    </w:p>
    <w:p w14:paraId="5E4FD43B"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color w:val="auto"/>
          <w:szCs w:val="22"/>
          <w:lang w:eastAsia="en-US"/>
        </w:rPr>
        <w:t>Dataset yang digunakan dalam penelitian ini berbasis data harian bursa efek (</w:t>
      </w:r>
      <w:r w:rsidRPr="005470A0">
        <w:rPr>
          <w:rFonts w:ascii="Times New Roman" w:eastAsiaTheme="minorHAnsi" w:hAnsi="Times New Roman" w:cs="Times New Roman"/>
          <w:i/>
          <w:iCs/>
          <w:color w:val="auto"/>
          <w:szCs w:val="22"/>
          <w:lang w:eastAsia="en-US"/>
        </w:rPr>
        <w:t>trading days</w:t>
      </w:r>
      <w:r w:rsidRPr="005470A0">
        <w:rPr>
          <w:rFonts w:ascii="Times New Roman" w:eastAsiaTheme="minorHAnsi" w:hAnsi="Times New Roman" w:cs="Times New Roman"/>
          <w:color w:val="auto"/>
          <w:szCs w:val="22"/>
          <w:lang w:eastAsia="en-US"/>
        </w:rPr>
        <w:t>), di mana aktivitas perdagangan hanya berlangsung selama hari kerja (Senin hingga Jumat). Dengan demikian, ukuran jendela pengetesan sepanjang 30 hari secara efektif merepresentasikan historis aktivitas pasar selama kurang lebih 1,5 bulan kalender. Rentang waktu ini sangat ideal untuk menangkap siklus kedaluwarsa kontrak bulanan (</w:t>
      </w:r>
      <w:r w:rsidRPr="005470A0">
        <w:rPr>
          <w:rFonts w:ascii="Times New Roman" w:eastAsiaTheme="minorHAnsi" w:hAnsi="Times New Roman" w:cs="Times New Roman"/>
          <w:i/>
          <w:iCs/>
          <w:color w:val="auto"/>
          <w:szCs w:val="22"/>
          <w:lang w:eastAsia="en-US"/>
        </w:rPr>
        <w:t>monthly options and futures contract expirations</w:t>
      </w:r>
      <w:r w:rsidRPr="005470A0">
        <w:rPr>
          <w:rFonts w:ascii="Times New Roman" w:eastAsiaTheme="minorHAnsi" w:hAnsi="Times New Roman" w:cs="Times New Roman"/>
          <w:color w:val="auto"/>
          <w:szCs w:val="22"/>
          <w:lang w:eastAsia="en-US"/>
        </w:rPr>
        <w:t>) yang secara struktural menggerakkan likuiditas dan volatilitas harga minyak mentah West Texas Intermediate (WTI).</w:t>
      </w:r>
    </w:p>
    <w:p w14:paraId="378DBCFE" w14:textId="77777777" w:rsidR="005470A0" w:rsidRPr="005470A0" w:rsidRDefault="005470A0" w:rsidP="005470A0">
      <w:pPr>
        <w:numPr>
          <w:ilvl w:val="0"/>
          <w:numId w:val="21"/>
        </w:numPr>
        <w:spacing w:after="160" w:line="278" w:lineRule="auto"/>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b/>
          <w:bCs/>
          <w:color w:val="auto"/>
          <w:szCs w:val="22"/>
          <w:lang w:eastAsia="en-US"/>
        </w:rPr>
        <w:t>Pola Transmisi Guncangan Jangka Pendek (</w:t>
      </w:r>
      <w:r w:rsidRPr="005470A0">
        <w:rPr>
          <w:rFonts w:ascii="Times New Roman" w:eastAsiaTheme="minorHAnsi" w:hAnsi="Times New Roman" w:cs="Times New Roman"/>
          <w:b/>
          <w:bCs/>
          <w:i/>
          <w:iCs/>
          <w:color w:val="auto"/>
          <w:szCs w:val="22"/>
          <w:lang w:eastAsia="en-US"/>
        </w:rPr>
        <w:t>Short-term Volatility Spillover</w:t>
      </w:r>
      <w:r w:rsidRPr="005470A0">
        <w:rPr>
          <w:rFonts w:ascii="Times New Roman" w:eastAsiaTheme="minorHAnsi" w:hAnsi="Times New Roman" w:cs="Times New Roman"/>
          <w:b/>
          <w:bCs/>
          <w:color w:val="auto"/>
          <w:szCs w:val="22"/>
          <w:lang w:eastAsia="en-US"/>
        </w:rPr>
        <w:t>)</w:t>
      </w:r>
    </w:p>
    <w:p w14:paraId="539822C8"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color w:val="auto"/>
          <w:szCs w:val="22"/>
          <w:lang w:eastAsia="en-US"/>
        </w:rPr>
        <w:t xml:space="preserve">Berdasarkan studi empiris oleh </w:t>
      </w:r>
      <w:r w:rsidRPr="005470A0">
        <w:rPr>
          <w:rFonts w:ascii="Times New Roman" w:eastAsiaTheme="minorHAnsi" w:hAnsi="Times New Roman" w:cs="Times New Roman"/>
          <w:i/>
          <w:iCs/>
          <w:color w:val="auto"/>
          <w:szCs w:val="22"/>
          <w:lang w:eastAsia="en-US"/>
        </w:rPr>
        <w:t>Kondoza et al. (2019)</w:t>
      </w:r>
      <w:r w:rsidRPr="005470A0">
        <w:rPr>
          <w:rFonts w:ascii="Times New Roman" w:eastAsiaTheme="minorHAnsi" w:hAnsi="Times New Roman" w:cs="Times New Roman"/>
          <w:color w:val="auto"/>
          <w:szCs w:val="22"/>
          <w:lang w:eastAsia="en-US"/>
        </w:rPr>
        <w:t xml:space="preserve"> serta </w:t>
      </w:r>
      <w:r w:rsidRPr="005470A0">
        <w:rPr>
          <w:rFonts w:ascii="Times New Roman" w:eastAsiaTheme="minorHAnsi" w:hAnsi="Times New Roman" w:cs="Times New Roman"/>
          <w:i/>
          <w:iCs/>
          <w:color w:val="auto"/>
          <w:szCs w:val="22"/>
          <w:lang w:eastAsia="en-US"/>
        </w:rPr>
        <w:t>Le et al. (2024)</w:t>
      </w:r>
      <w:r w:rsidRPr="005470A0">
        <w:rPr>
          <w:rFonts w:ascii="Times New Roman" w:eastAsiaTheme="minorHAnsi" w:hAnsi="Times New Roman" w:cs="Times New Roman"/>
          <w:color w:val="auto"/>
          <w:szCs w:val="22"/>
          <w:lang w:eastAsia="en-US"/>
        </w:rPr>
        <w:t>, interaksi dan transmisi volatilitas antar pasar—khususnya antara indeks saham Amerika Serikat (S&amp;P 500), indeks Dolar AS (DXY), dan komoditas emas terhadap minyak mentah—terjadi secara intensif dan masif dalam horizon jangka pendek. Dengan membatasi memori sekuensial model LSTM pada rentang 30 hari, arsitektur model diberikan konteks temporal yang optimal untuk mempelajari bagaimana guncangan (</w:t>
      </w:r>
      <w:r w:rsidRPr="005470A0">
        <w:rPr>
          <w:rFonts w:ascii="Times New Roman" w:eastAsiaTheme="minorHAnsi" w:hAnsi="Times New Roman" w:cs="Times New Roman"/>
          <w:i/>
          <w:iCs/>
          <w:color w:val="auto"/>
          <w:szCs w:val="22"/>
          <w:lang w:eastAsia="en-US"/>
        </w:rPr>
        <w:t>shocks</w:t>
      </w:r>
      <w:r w:rsidRPr="005470A0">
        <w:rPr>
          <w:rFonts w:ascii="Times New Roman" w:eastAsiaTheme="minorHAnsi" w:hAnsi="Times New Roman" w:cs="Times New Roman"/>
          <w:color w:val="auto"/>
          <w:szCs w:val="22"/>
          <w:lang w:eastAsia="en-US"/>
        </w:rPr>
        <w:t>) dari variabel-variabel makroekonomi multivariat tersebut mentransmisikan dampaknya secara langsung ke harga penutupan minyak WTI, sebelum pola hubungan tersebut teredam oleh waktu.</w:t>
      </w:r>
    </w:p>
    <w:p w14:paraId="0E7B2994" w14:textId="77777777" w:rsidR="005470A0" w:rsidRPr="005470A0" w:rsidRDefault="005470A0" w:rsidP="005470A0">
      <w:pPr>
        <w:numPr>
          <w:ilvl w:val="0"/>
          <w:numId w:val="21"/>
        </w:numPr>
        <w:spacing w:after="160" w:line="278" w:lineRule="auto"/>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b/>
          <w:bCs/>
          <w:color w:val="auto"/>
          <w:szCs w:val="22"/>
          <w:lang w:eastAsia="en-US"/>
        </w:rPr>
        <w:t xml:space="preserve">Isolasi Efek Asimetris dan Pencegahan </w:t>
      </w:r>
      <w:r w:rsidRPr="005470A0">
        <w:rPr>
          <w:rFonts w:ascii="Times New Roman" w:eastAsiaTheme="minorHAnsi" w:hAnsi="Times New Roman" w:cs="Times New Roman"/>
          <w:b/>
          <w:bCs/>
          <w:i/>
          <w:iCs/>
          <w:color w:val="auto"/>
          <w:szCs w:val="22"/>
          <w:lang w:eastAsia="en-US"/>
        </w:rPr>
        <w:t>Noise</w:t>
      </w:r>
      <w:r w:rsidRPr="005470A0">
        <w:rPr>
          <w:rFonts w:ascii="Times New Roman" w:eastAsiaTheme="minorHAnsi" w:hAnsi="Times New Roman" w:cs="Times New Roman"/>
          <w:b/>
          <w:bCs/>
          <w:color w:val="auto"/>
          <w:szCs w:val="22"/>
          <w:lang w:eastAsia="en-US"/>
        </w:rPr>
        <w:t xml:space="preserve"> Struktural</w:t>
      </w:r>
    </w:p>
    <w:p w14:paraId="25F6BADB"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color w:val="auto"/>
          <w:szCs w:val="22"/>
          <w:lang w:eastAsia="en-US"/>
        </w:rPr>
        <w:t xml:space="preserve">Penelitian oleh </w:t>
      </w:r>
      <w:r w:rsidRPr="005470A0">
        <w:rPr>
          <w:rFonts w:ascii="Times New Roman" w:eastAsiaTheme="minorHAnsi" w:hAnsi="Times New Roman" w:cs="Times New Roman"/>
          <w:i/>
          <w:iCs/>
          <w:color w:val="auto"/>
          <w:szCs w:val="22"/>
          <w:lang w:eastAsia="en-US"/>
        </w:rPr>
        <w:t>Salem et al. (2022)</w:t>
      </w:r>
      <w:r w:rsidRPr="005470A0">
        <w:rPr>
          <w:rFonts w:ascii="Times New Roman" w:eastAsiaTheme="minorHAnsi" w:hAnsi="Times New Roman" w:cs="Times New Roman"/>
          <w:color w:val="auto"/>
          <w:szCs w:val="22"/>
          <w:lang w:eastAsia="en-US"/>
        </w:rPr>
        <w:t xml:space="preserve"> dengan pendekatan </w:t>
      </w:r>
      <w:r w:rsidRPr="005470A0">
        <w:rPr>
          <w:rFonts w:ascii="Times New Roman" w:eastAsiaTheme="minorHAnsi" w:hAnsi="Times New Roman" w:cs="Times New Roman"/>
          <w:i/>
          <w:iCs/>
          <w:color w:val="auto"/>
          <w:szCs w:val="22"/>
          <w:lang w:eastAsia="en-US"/>
        </w:rPr>
        <w:t>Autoregressive Distributed Lag</w:t>
      </w:r>
      <w:r w:rsidRPr="005470A0">
        <w:rPr>
          <w:rFonts w:ascii="Times New Roman" w:eastAsiaTheme="minorHAnsi" w:hAnsi="Times New Roman" w:cs="Times New Roman"/>
          <w:color w:val="auto"/>
          <w:szCs w:val="22"/>
          <w:lang w:eastAsia="en-US"/>
        </w:rPr>
        <w:t xml:space="preserve"> (ARDL) dan </w:t>
      </w:r>
      <w:r w:rsidRPr="005470A0">
        <w:rPr>
          <w:rFonts w:ascii="Times New Roman" w:eastAsiaTheme="minorHAnsi" w:hAnsi="Times New Roman" w:cs="Times New Roman"/>
          <w:i/>
          <w:iCs/>
          <w:color w:val="auto"/>
          <w:szCs w:val="22"/>
          <w:lang w:eastAsia="en-US"/>
        </w:rPr>
        <w:t>Nonlinear</w:t>
      </w:r>
      <w:r w:rsidRPr="005470A0">
        <w:rPr>
          <w:rFonts w:ascii="Times New Roman" w:eastAsiaTheme="minorHAnsi" w:hAnsi="Times New Roman" w:cs="Times New Roman"/>
          <w:color w:val="auto"/>
          <w:szCs w:val="22"/>
          <w:lang w:eastAsia="en-US"/>
        </w:rPr>
        <w:t xml:space="preserve"> ARDL membuktikan bahwa determinasi variabel makroekonomi terhadap harga minyak memiliki karakteristik perilaku yang berbeda (asimetris) secara signifikan antara </w:t>
      </w:r>
      <w:r w:rsidRPr="005470A0">
        <w:rPr>
          <w:rFonts w:ascii="Times New Roman" w:eastAsiaTheme="minorHAnsi" w:hAnsi="Times New Roman" w:cs="Times New Roman"/>
          <w:color w:val="auto"/>
          <w:szCs w:val="22"/>
          <w:lang w:eastAsia="en-US"/>
        </w:rPr>
        <w:lastRenderedPageBreak/>
        <w:t xml:space="preserve">jangka pendek dan jangka panjang. Penggunaan </w:t>
      </w:r>
      <w:r w:rsidRPr="005470A0">
        <w:rPr>
          <w:rFonts w:ascii="Times New Roman" w:eastAsiaTheme="minorHAnsi" w:hAnsi="Times New Roman" w:cs="Times New Roman"/>
          <w:i/>
          <w:iCs/>
          <w:color w:val="auto"/>
          <w:szCs w:val="22"/>
          <w:lang w:eastAsia="en-US"/>
        </w:rPr>
        <w:t>window size</w:t>
      </w:r>
      <w:r w:rsidRPr="005470A0">
        <w:rPr>
          <w:rFonts w:ascii="Times New Roman" w:eastAsiaTheme="minorHAnsi" w:hAnsi="Times New Roman" w:cs="Times New Roman"/>
          <w:color w:val="auto"/>
          <w:szCs w:val="22"/>
          <w:lang w:eastAsia="en-US"/>
        </w:rPr>
        <w:t xml:space="preserve"> yang terlalu panjang (misalnya $&gt;90$ hari) berisiko memasukkan </w:t>
      </w:r>
      <w:r w:rsidRPr="005470A0">
        <w:rPr>
          <w:rFonts w:ascii="Times New Roman" w:eastAsiaTheme="minorHAnsi" w:hAnsi="Times New Roman" w:cs="Times New Roman"/>
          <w:i/>
          <w:iCs/>
          <w:color w:val="auto"/>
          <w:szCs w:val="22"/>
          <w:lang w:eastAsia="en-US"/>
        </w:rPr>
        <w:t>noise</w:t>
      </w:r>
      <w:r w:rsidRPr="005470A0">
        <w:rPr>
          <w:rFonts w:ascii="Times New Roman" w:eastAsiaTheme="minorHAnsi" w:hAnsi="Times New Roman" w:cs="Times New Roman"/>
          <w:color w:val="auto"/>
          <w:szCs w:val="22"/>
          <w:lang w:eastAsia="en-US"/>
        </w:rPr>
        <w:t xml:space="preserve"> dari pergeseran struktural jangka panjang yang tidak relevan bagi prediksi harian, serta berpotensi memicu kendala </w:t>
      </w:r>
      <w:r w:rsidRPr="005470A0">
        <w:rPr>
          <w:rFonts w:ascii="Times New Roman" w:eastAsiaTheme="minorHAnsi" w:hAnsi="Times New Roman" w:cs="Times New Roman"/>
          <w:i/>
          <w:iCs/>
          <w:color w:val="auto"/>
          <w:szCs w:val="22"/>
          <w:lang w:eastAsia="en-US"/>
        </w:rPr>
        <w:t>vanishing gradient</w:t>
      </w:r>
      <w:r w:rsidRPr="005470A0">
        <w:rPr>
          <w:rFonts w:ascii="Times New Roman" w:eastAsiaTheme="minorHAnsi" w:hAnsi="Times New Roman" w:cs="Times New Roman"/>
          <w:color w:val="auto"/>
          <w:szCs w:val="22"/>
          <w:lang w:eastAsia="en-US"/>
        </w:rPr>
        <w:t xml:space="preserve"> pada model LSTM. Oleh karena itu, batasan 30 hari dipilih secara ketat untuk memfokuskan kapabilitas pembelajaran LSTM pada ketergantungan sekuensial jangka pendek (</w:t>
      </w:r>
      <w:r w:rsidRPr="005470A0">
        <w:rPr>
          <w:rFonts w:ascii="Times New Roman" w:eastAsiaTheme="minorHAnsi" w:hAnsi="Times New Roman" w:cs="Times New Roman"/>
          <w:i/>
          <w:iCs/>
          <w:color w:val="auto"/>
          <w:szCs w:val="22"/>
          <w:lang w:eastAsia="en-US"/>
        </w:rPr>
        <w:t>short-term dependencies</w:t>
      </w:r>
      <w:r w:rsidRPr="005470A0">
        <w:rPr>
          <w:rFonts w:ascii="Times New Roman" w:eastAsiaTheme="minorHAnsi" w:hAnsi="Times New Roman" w:cs="Times New Roman"/>
          <w:color w:val="auto"/>
          <w:szCs w:val="22"/>
          <w:lang w:eastAsia="en-US"/>
        </w:rPr>
        <w:t>).</w:t>
      </w:r>
    </w:p>
    <w:p w14:paraId="056B1DDB"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color w:val="auto"/>
          <w:szCs w:val="22"/>
          <w:lang w:eastAsia="en-US"/>
        </w:rPr>
        <w:pict w14:anchorId="3E25538F">
          <v:rect id="_x0000_i1038" style="width:0;height:1.5pt" o:hralign="center" o:hrstd="t" o:hrnoshade="t" o:hr="t" fillcolor="gray" stroked="f"/>
        </w:pict>
      </w:r>
    </w:p>
    <w:p w14:paraId="79651A2B"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b/>
          <w:bCs/>
          <w:color w:val="auto"/>
          <w:szCs w:val="22"/>
          <w:lang w:eastAsia="en-US"/>
        </w:rPr>
        <w:t>Instruksi Tambahan dari Saya:</w:t>
      </w:r>
    </w:p>
    <w:p w14:paraId="36A9EBFE" w14:textId="77777777" w:rsidR="005470A0" w:rsidRPr="005470A0" w:rsidRDefault="005470A0" w:rsidP="005470A0">
      <w:pPr>
        <w:numPr>
          <w:ilvl w:val="0"/>
          <w:numId w:val="22"/>
        </w:numPr>
        <w:spacing w:after="160" w:line="278" w:lineRule="auto"/>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b/>
          <w:bCs/>
          <w:color w:val="auto"/>
          <w:szCs w:val="22"/>
          <w:lang w:eastAsia="en-US"/>
        </w:rPr>
        <w:t>Periksa Daftar Pustaka:</w:t>
      </w:r>
      <w:r w:rsidRPr="005470A0">
        <w:rPr>
          <w:rFonts w:ascii="Times New Roman" w:eastAsiaTheme="minorHAnsi" w:hAnsi="Times New Roman" w:cs="Times New Roman"/>
          <w:color w:val="auto"/>
          <w:szCs w:val="22"/>
          <w:lang w:eastAsia="en-US"/>
        </w:rPr>
        <w:t xml:space="preserve"> Pastikan di bagian akhir laporan kalian, tiga jurnal referensi tersebut (</w:t>
      </w:r>
      <w:r w:rsidRPr="005470A0">
        <w:rPr>
          <w:rFonts w:ascii="Times New Roman" w:eastAsiaTheme="minorHAnsi" w:hAnsi="Times New Roman" w:cs="Times New Roman"/>
          <w:i/>
          <w:iCs/>
          <w:color w:val="auto"/>
          <w:szCs w:val="22"/>
          <w:lang w:eastAsia="en-US"/>
        </w:rPr>
        <w:t>Kondoz et al., 2019; Le et al., 2024; Salem et al., 2022</w:t>
      </w:r>
      <w:r w:rsidRPr="005470A0">
        <w:rPr>
          <w:rFonts w:ascii="Times New Roman" w:eastAsiaTheme="minorHAnsi" w:hAnsi="Times New Roman" w:cs="Times New Roman"/>
          <w:color w:val="auto"/>
          <w:szCs w:val="22"/>
          <w:lang w:eastAsia="en-US"/>
        </w:rPr>
        <w:t>) sudah tertulis lengkap sesuai standar APA/IEEE. Jangan sampai ada sitasi di teks tapi di daftar pustaka kosong.</w:t>
      </w:r>
    </w:p>
    <w:p w14:paraId="2FCF393B" w14:textId="77777777" w:rsidR="005470A0" w:rsidRPr="005470A0" w:rsidRDefault="005470A0" w:rsidP="005470A0">
      <w:pPr>
        <w:numPr>
          <w:ilvl w:val="0"/>
          <w:numId w:val="22"/>
        </w:numPr>
        <w:spacing w:after="160" w:line="278" w:lineRule="auto"/>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b/>
          <w:bCs/>
          <w:color w:val="auto"/>
          <w:szCs w:val="22"/>
          <w:lang w:eastAsia="en-US"/>
        </w:rPr>
        <w:t>Nomor Subbab:</w:t>
      </w:r>
      <w:r w:rsidRPr="005470A0">
        <w:rPr>
          <w:rFonts w:ascii="Times New Roman" w:eastAsiaTheme="minorHAnsi" w:hAnsi="Times New Roman" w:cs="Times New Roman"/>
          <w:color w:val="auto"/>
          <w:szCs w:val="22"/>
          <w:lang w:eastAsia="en-US"/>
        </w:rPr>
        <w:t xml:space="preserve"> Sesuaikan kode 3.X di atas dengan urutan subbab yang ada pada draf laporan kalian.</w:t>
      </w:r>
    </w:p>
    <w:p w14:paraId="3BD34AA0" w14:textId="77777777" w:rsidR="005470A0" w:rsidRPr="005470A0" w:rsidRDefault="005470A0" w:rsidP="005470A0">
      <w:pPr>
        <w:spacing w:after="160" w:line="278" w:lineRule="auto"/>
        <w:ind w:left="720" w:firstLine="414"/>
        <w:jc w:val="both"/>
        <w:rPr>
          <w:rFonts w:ascii="Times New Roman" w:eastAsiaTheme="minorHAnsi" w:hAnsi="Times New Roman" w:cs="Times New Roman"/>
          <w:color w:val="auto"/>
          <w:szCs w:val="22"/>
          <w:lang w:eastAsia="en-US"/>
        </w:rPr>
      </w:pPr>
      <w:r w:rsidRPr="005470A0">
        <w:rPr>
          <w:rFonts w:ascii="Times New Roman" w:eastAsiaTheme="minorHAnsi" w:hAnsi="Times New Roman" w:cs="Times New Roman"/>
          <w:color w:val="auto"/>
          <w:szCs w:val="22"/>
          <w:lang w:eastAsia="en-US"/>
        </w:rPr>
        <w:t>Teks ini sudah memenuhi standar ilmiah baku mahasiswa Informatika. Silakan diintegrasikan ke laporan kalian. Ada bagian lain dari laporan yang masih meragukan? Tunjukkan ke saya sekarang.</w:t>
      </w:r>
    </w:p>
    <w:p w14:paraId="1A3EF3BC" w14:textId="4B7EE0AF" w:rsidR="00AF2C48" w:rsidRPr="0033742D" w:rsidRDefault="00AF2C48" w:rsidP="0033742D">
      <w:pPr>
        <w:spacing w:after="160" w:line="278" w:lineRule="auto"/>
        <w:ind w:left="720" w:firstLine="414"/>
        <w:jc w:val="both"/>
        <w:rPr>
          <w:rFonts w:ascii="Times New Roman" w:eastAsiaTheme="minorHAnsi" w:hAnsi="Times New Roman" w:cs="Times New Roman"/>
          <w:color w:val="auto"/>
          <w:szCs w:val="22"/>
          <w:lang w:eastAsia="en-US"/>
        </w:rPr>
      </w:pPr>
    </w:p>
    <w:sectPr w:rsidR="00AF2C48" w:rsidRPr="0033742D">
      <w:pgSz w:w="12240" w:h="15840"/>
      <w:pgMar w:top="1440" w:right="1441" w:bottom="1459"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429C8" w14:textId="77777777" w:rsidR="00704AC0" w:rsidRDefault="00704AC0" w:rsidP="00724C91">
      <w:pPr>
        <w:spacing w:before="0" w:after="0" w:line="240" w:lineRule="auto"/>
      </w:pPr>
      <w:r>
        <w:separator/>
      </w:r>
    </w:p>
  </w:endnote>
  <w:endnote w:type="continuationSeparator" w:id="0">
    <w:p w14:paraId="1C0C6AA7" w14:textId="77777777" w:rsidR="00704AC0" w:rsidRDefault="00704AC0" w:rsidP="00724C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8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C638D" w14:textId="77777777" w:rsidR="00704AC0" w:rsidRDefault="00704AC0" w:rsidP="00724C91">
      <w:pPr>
        <w:spacing w:before="0" w:after="0" w:line="240" w:lineRule="auto"/>
      </w:pPr>
      <w:r>
        <w:separator/>
      </w:r>
    </w:p>
  </w:footnote>
  <w:footnote w:type="continuationSeparator" w:id="0">
    <w:p w14:paraId="56C3D4CF" w14:textId="77777777" w:rsidR="00704AC0" w:rsidRDefault="00704AC0" w:rsidP="00724C9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2CD4"/>
    <w:multiLevelType w:val="multilevel"/>
    <w:tmpl w:val="D458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22D1C"/>
    <w:multiLevelType w:val="hybridMultilevel"/>
    <w:tmpl w:val="A4F25D92"/>
    <w:lvl w:ilvl="0" w:tplc="A2423160">
      <w:start w:val="1"/>
      <w:numFmt w:val="decimal"/>
      <w:lvlText w:val="%1."/>
      <w:lvlJc w:val="left"/>
      <w:pPr>
        <w:ind w:left="720" w:hanging="360"/>
      </w:pPr>
      <w:rPr>
        <w:rFonts w:ascii="Segoe UI Emoji" w:hAnsi="Segoe UI Emoji" w:cs="Segoe UI Emoj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A322EB"/>
    <w:multiLevelType w:val="hybridMultilevel"/>
    <w:tmpl w:val="4D48283E"/>
    <w:lvl w:ilvl="0" w:tplc="B008CAB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0FC830C7"/>
    <w:multiLevelType w:val="multilevel"/>
    <w:tmpl w:val="17B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D7327"/>
    <w:multiLevelType w:val="multilevel"/>
    <w:tmpl w:val="E33A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335BF"/>
    <w:multiLevelType w:val="multilevel"/>
    <w:tmpl w:val="C8DEA9BA"/>
    <w:lvl w:ilvl="0">
      <w:start w:val="1"/>
      <w:numFmt w:val="decimal"/>
      <w:lvlText w:val="%1."/>
      <w:lvlJc w:val="left"/>
      <w:pPr>
        <w:ind w:left="720" w:hanging="360"/>
      </w:pPr>
      <w:rPr>
        <w:rFonts w:ascii="Segoe UI Emoji" w:hAnsi="Segoe UI Emoji" w:cs="Segoe UI Emoji"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36145824"/>
    <w:multiLevelType w:val="multilevel"/>
    <w:tmpl w:val="5C603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7C0A42"/>
    <w:multiLevelType w:val="hybridMultilevel"/>
    <w:tmpl w:val="4D48283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3D1B777B"/>
    <w:multiLevelType w:val="hybridMultilevel"/>
    <w:tmpl w:val="B3567E40"/>
    <w:lvl w:ilvl="0" w:tplc="EEE8F3E8">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C4483A">
      <w:start w:val="1"/>
      <w:numFmt w:val="bullet"/>
      <w:lvlText w:val="o"/>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2613F0">
      <w:start w:val="1"/>
      <w:numFmt w:val="bullet"/>
      <w:lvlText w:val="▪"/>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18C794">
      <w:start w:val="1"/>
      <w:numFmt w:val="bullet"/>
      <w:lvlText w:val="•"/>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E20A84">
      <w:start w:val="1"/>
      <w:numFmt w:val="bullet"/>
      <w:lvlText w:val="o"/>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063FBC">
      <w:start w:val="1"/>
      <w:numFmt w:val="bullet"/>
      <w:lvlText w:val="▪"/>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B6F56C">
      <w:start w:val="1"/>
      <w:numFmt w:val="bullet"/>
      <w:lvlText w:val="•"/>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408AF4">
      <w:start w:val="1"/>
      <w:numFmt w:val="bullet"/>
      <w:lvlText w:val="o"/>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6A88214">
      <w:start w:val="1"/>
      <w:numFmt w:val="bullet"/>
      <w:lvlText w:val="▪"/>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39F5BF3"/>
    <w:multiLevelType w:val="multilevel"/>
    <w:tmpl w:val="8AE8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3870CC"/>
    <w:multiLevelType w:val="hybridMultilevel"/>
    <w:tmpl w:val="EAC402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584B7D99"/>
    <w:multiLevelType w:val="multilevel"/>
    <w:tmpl w:val="3310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B700E"/>
    <w:multiLevelType w:val="multilevel"/>
    <w:tmpl w:val="2688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F7FAA"/>
    <w:multiLevelType w:val="multilevel"/>
    <w:tmpl w:val="DC3A3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5653FD"/>
    <w:multiLevelType w:val="hybridMultilevel"/>
    <w:tmpl w:val="4D48283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682F2A7D"/>
    <w:multiLevelType w:val="hybridMultilevel"/>
    <w:tmpl w:val="84041BFE"/>
    <w:lvl w:ilvl="0" w:tplc="53AEB8C0">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E45BFA">
      <w:start w:val="1"/>
      <w:numFmt w:val="bullet"/>
      <w:lvlText w:val="o"/>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AC3F20">
      <w:start w:val="1"/>
      <w:numFmt w:val="bullet"/>
      <w:lvlText w:val="▪"/>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58E8A2">
      <w:start w:val="1"/>
      <w:numFmt w:val="bullet"/>
      <w:lvlText w:val="•"/>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3EDA0C">
      <w:start w:val="1"/>
      <w:numFmt w:val="bullet"/>
      <w:lvlText w:val="o"/>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E6AFAE">
      <w:start w:val="1"/>
      <w:numFmt w:val="bullet"/>
      <w:lvlText w:val="▪"/>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2C22A4">
      <w:start w:val="1"/>
      <w:numFmt w:val="bullet"/>
      <w:lvlText w:val="•"/>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50954E">
      <w:start w:val="1"/>
      <w:numFmt w:val="bullet"/>
      <w:lvlText w:val="o"/>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3A4F40">
      <w:start w:val="1"/>
      <w:numFmt w:val="bullet"/>
      <w:lvlText w:val="▪"/>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C164446"/>
    <w:multiLevelType w:val="multilevel"/>
    <w:tmpl w:val="CC9C3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E953BC"/>
    <w:multiLevelType w:val="multilevel"/>
    <w:tmpl w:val="4F921F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8192284"/>
    <w:multiLevelType w:val="hybridMultilevel"/>
    <w:tmpl w:val="4D48283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78300942"/>
    <w:multiLevelType w:val="multilevel"/>
    <w:tmpl w:val="C0DA04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B955B8C"/>
    <w:multiLevelType w:val="multilevel"/>
    <w:tmpl w:val="9CB4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F0775"/>
    <w:multiLevelType w:val="hybridMultilevel"/>
    <w:tmpl w:val="6E2AB6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96318410">
    <w:abstractNumId w:val="8"/>
  </w:num>
  <w:num w:numId="2" w16cid:durableId="778138326">
    <w:abstractNumId w:val="15"/>
  </w:num>
  <w:num w:numId="3" w16cid:durableId="665519093">
    <w:abstractNumId w:val="4"/>
  </w:num>
  <w:num w:numId="4" w16cid:durableId="525942724">
    <w:abstractNumId w:val="19"/>
  </w:num>
  <w:num w:numId="5" w16cid:durableId="518082738">
    <w:abstractNumId w:val="21"/>
  </w:num>
  <w:num w:numId="6" w16cid:durableId="1205169006">
    <w:abstractNumId w:val="17"/>
  </w:num>
  <w:num w:numId="7" w16cid:durableId="417556732">
    <w:abstractNumId w:val="10"/>
  </w:num>
  <w:num w:numId="8" w16cid:durableId="1124545193">
    <w:abstractNumId w:val="13"/>
  </w:num>
  <w:num w:numId="9" w16cid:durableId="422840213">
    <w:abstractNumId w:val="3"/>
  </w:num>
  <w:num w:numId="10" w16cid:durableId="1147169318">
    <w:abstractNumId w:val="11"/>
  </w:num>
  <w:num w:numId="11" w16cid:durableId="1756247486">
    <w:abstractNumId w:val="20"/>
  </w:num>
  <w:num w:numId="12" w16cid:durableId="2111704129">
    <w:abstractNumId w:val="0"/>
  </w:num>
  <w:num w:numId="13" w16cid:durableId="36779216">
    <w:abstractNumId w:val="9"/>
  </w:num>
  <w:num w:numId="14" w16cid:durableId="1179271109">
    <w:abstractNumId w:val="12"/>
  </w:num>
  <w:num w:numId="15" w16cid:durableId="1005790528">
    <w:abstractNumId w:val="5"/>
  </w:num>
  <w:num w:numId="16" w16cid:durableId="1585676118">
    <w:abstractNumId w:val="1"/>
  </w:num>
  <w:num w:numId="17" w16cid:durableId="1923879088">
    <w:abstractNumId w:val="2"/>
  </w:num>
  <w:num w:numId="18" w16cid:durableId="1341002676">
    <w:abstractNumId w:val="18"/>
  </w:num>
  <w:num w:numId="19" w16cid:durableId="1311910519">
    <w:abstractNumId w:val="14"/>
  </w:num>
  <w:num w:numId="20" w16cid:durableId="753283707">
    <w:abstractNumId w:val="7"/>
  </w:num>
  <w:num w:numId="21" w16cid:durableId="856625842">
    <w:abstractNumId w:val="6"/>
  </w:num>
  <w:num w:numId="22" w16cid:durableId="10005493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DC8"/>
    <w:rsid w:val="000E1DC8"/>
    <w:rsid w:val="0010527A"/>
    <w:rsid w:val="00166763"/>
    <w:rsid w:val="002225F6"/>
    <w:rsid w:val="0033742D"/>
    <w:rsid w:val="00405361"/>
    <w:rsid w:val="00524B5A"/>
    <w:rsid w:val="005470A0"/>
    <w:rsid w:val="006F5A94"/>
    <w:rsid w:val="00704AC0"/>
    <w:rsid w:val="00724C91"/>
    <w:rsid w:val="00797C4C"/>
    <w:rsid w:val="008A2541"/>
    <w:rsid w:val="009841AB"/>
    <w:rsid w:val="009C4682"/>
    <w:rsid w:val="00AF2C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8E64A"/>
  <w15:docId w15:val="{A0B359E1-5872-4437-A79E-F1FB9A00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1" w:after="3" w:line="253" w:lineRule="auto"/>
      <w:ind w:left="10" w:hanging="10"/>
    </w:pPr>
    <w:rPr>
      <w:rFonts w:ascii="Courier New" w:eastAsia="Courier New" w:hAnsi="Courier New" w:cs="Courier New"/>
      <w:color w:val="000000"/>
      <w:sz w:val="22"/>
    </w:rPr>
  </w:style>
  <w:style w:type="paragraph" w:styleId="Heading1">
    <w:name w:val="heading 1"/>
    <w:next w:val="Normal"/>
    <w:link w:val="Heading1Char"/>
    <w:uiPriority w:val="9"/>
    <w:qFormat/>
    <w:pPr>
      <w:keepNext/>
      <w:keepLines/>
      <w:spacing w:after="0" w:line="265" w:lineRule="auto"/>
      <w:ind w:left="10" w:hanging="10"/>
      <w:outlineLvl w:val="0"/>
    </w:pPr>
    <w:rPr>
      <w:rFonts w:ascii="Calibri" w:eastAsia="Calibri" w:hAnsi="Calibri" w:cs="Calibri"/>
      <w:color w:val="000000"/>
      <w:sz w:val="36"/>
    </w:rPr>
  </w:style>
  <w:style w:type="paragraph" w:styleId="Heading2">
    <w:name w:val="heading 2"/>
    <w:basedOn w:val="Normal"/>
    <w:next w:val="Normal"/>
    <w:link w:val="Heading2Char"/>
    <w:uiPriority w:val="9"/>
    <w:semiHidden/>
    <w:unhideWhenUsed/>
    <w:qFormat/>
    <w:rsid w:val="00797C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3742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797C4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97C4C"/>
    <w:rPr>
      <w:color w:val="0563C1" w:themeColor="hyperlink"/>
      <w:u w:val="single"/>
    </w:rPr>
  </w:style>
  <w:style w:type="character" w:styleId="UnresolvedMention">
    <w:name w:val="Unresolved Mention"/>
    <w:basedOn w:val="DefaultParagraphFont"/>
    <w:uiPriority w:val="99"/>
    <w:semiHidden/>
    <w:unhideWhenUsed/>
    <w:rsid w:val="00797C4C"/>
    <w:rPr>
      <w:color w:val="605E5C"/>
      <w:shd w:val="clear" w:color="auto" w:fill="E1DFDD"/>
    </w:rPr>
  </w:style>
  <w:style w:type="paragraph" w:styleId="ListParagraph">
    <w:name w:val="List Paragraph"/>
    <w:basedOn w:val="Normal"/>
    <w:uiPriority w:val="34"/>
    <w:qFormat/>
    <w:rsid w:val="0010527A"/>
    <w:pPr>
      <w:ind w:left="720"/>
      <w:contextualSpacing/>
    </w:pPr>
  </w:style>
  <w:style w:type="table" w:styleId="TableGrid0">
    <w:name w:val="Table Grid"/>
    <w:basedOn w:val="TableNormal"/>
    <w:uiPriority w:val="39"/>
    <w:rsid w:val="00105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F2C48"/>
    <w:rPr>
      <w:color w:val="666666"/>
    </w:rPr>
  </w:style>
  <w:style w:type="character" w:customStyle="1" w:styleId="Heading3Char">
    <w:name w:val="Heading 3 Char"/>
    <w:basedOn w:val="DefaultParagraphFont"/>
    <w:link w:val="Heading3"/>
    <w:uiPriority w:val="9"/>
    <w:semiHidden/>
    <w:rsid w:val="0033742D"/>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724C9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24C91"/>
    <w:rPr>
      <w:rFonts w:ascii="Courier New" w:eastAsia="Courier New" w:hAnsi="Courier New" w:cs="Courier New"/>
      <w:color w:val="000000"/>
      <w:sz w:val="22"/>
    </w:rPr>
  </w:style>
  <w:style w:type="paragraph" w:styleId="Footer">
    <w:name w:val="footer"/>
    <w:basedOn w:val="Normal"/>
    <w:link w:val="FooterChar"/>
    <w:uiPriority w:val="99"/>
    <w:unhideWhenUsed/>
    <w:rsid w:val="00724C9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24C91"/>
    <w:rPr>
      <w:rFonts w:ascii="Courier New" w:eastAsia="Courier New" w:hAnsi="Courier New" w:cs="Courier New"/>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108137">
      <w:marLeft w:val="480"/>
      <w:marRight w:val="0"/>
      <w:marTop w:val="0"/>
      <w:marBottom w:val="0"/>
      <w:divBdr>
        <w:top w:val="none" w:sz="0" w:space="0" w:color="auto"/>
        <w:left w:val="none" w:sz="0" w:space="0" w:color="auto"/>
        <w:bottom w:val="none" w:sz="0" w:space="0" w:color="auto"/>
        <w:right w:val="none" w:sz="0" w:space="0" w:color="auto"/>
      </w:divBdr>
    </w:div>
    <w:div w:id="750080917">
      <w:marLeft w:val="480"/>
      <w:marRight w:val="0"/>
      <w:marTop w:val="0"/>
      <w:marBottom w:val="0"/>
      <w:divBdr>
        <w:top w:val="none" w:sz="0" w:space="0" w:color="auto"/>
        <w:left w:val="none" w:sz="0" w:space="0" w:color="auto"/>
        <w:bottom w:val="none" w:sz="0" w:space="0" w:color="auto"/>
        <w:right w:val="none" w:sz="0" w:space="0" w:color="auto"/>
      </w:divBdr>
    </w:div>
    <w:div w:id="1656033945">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AH_MY2Nxg_2nLo5xAtsdsstFN3RjsUVG?usp=shar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7BD348A-9FED-4CD2-B14A-628DF6B850A3}"/>
      </w:docPartPr>
      <w:docPartBody>
        <w:p w:rsidR="00CA037A" w:rsidRDefault="00E76A02">
          <w:r w:rsidRPr="005164B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8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02"/>
    <w:rsid w:val="003053A3"/>
    <w:rsid w:val="00405361"/>
    <w:rsid w:val="006F5A94"/>
    <w:rsid w:val="00966B8E"/>
    <w:rsid w:val="009841AB"/>
    <w:rsid w:val="00CA037A"/>
    <w:rsid w:val="00D87E6D"/>
    <w:rsid w:val="00E76A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037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 dockstate="right" visibility="0" width="525"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5D7D508C-E2E3-4D69-904A-A29BFFAB70EC}">
  <we:reference id="wa200002866" version="1.0.1.0" store="en-US" storeType="OMEX"/>
  <we:alternateReferences>
    <we:reference id="WA200002866" version="1.0.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BA998ED-FA2A-49A2-9841-0BAB54E0CB8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073219410"/>
    <we:property name="MENDELEY_CITATIONS" value="[{&quot;citationID&quot;:&quot;MENDELEY_CITATION_8ae5feee-36c1-4ddc-959b-bf1d75cedf9b&quot;,&quot;properties&quot;:{&quot;noteIndex&quot;:0},&quot;isEdited&quot;:false,&quot;manualOverride&quot;:{&quot;isManuallyOverridden&quot;:false,&quot;citeprocText&quot;:&quot;(Salem et al., 2022)&quot;,&quot;manualOverrideText&quot;:&quot;&quot;},&quot;citationTag&quot;:&quot;MENDELEY_CITATION_v3_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&quot;,&quot;citationItems&quot;:[{&quot;id&quot;:&quot;dabd492a-b8bb-30ba-af5f-b52b6904c52b&quot;,&quot;itemData&quot;:{&quot;type&quot;:&quot;report&quot;,&quot;id&quot;:&quot;dabd492a-b8bb-30ba-af5f-b52b6904c52b&quot;,&quot;title&quot;:&quot;The Determinants of Crude Oil Prices: Evidence from ARDL and Nonlinear ARDL Approaches&quot;,&quot;author&quot;:[{&quot;family&quot;:&quot;Salem&quot;,&quot;given&quot;:&quot;Leila&quot;,&quot;parse-names&quot;:false,&quot;dropping-particle&quot;:&quot;Ben&quot;,&quot;non-dropping-particle&quot;:&quot;&quot;},{&quot;family&quot;:&quot;Nouira&quot;,&quot;given&quot;:&quot;Ridha&quot;,&quot;parse-names&quot;:false,&quot;dropping-particle&quot;:&quot;&quot;,&quot;non-dropping-particle&quot;:&quot;&quot;},{&quot;family&quot;:&quot;Jeguirim&quot;,&quot;given&quot;:&quot;Khaled&quot;,&quot;parse-names&quot;:false,&quot;dropping-particle&quot;:&quot;&quot;,&quot;non-dropping-particle&quot;:&quot;&quot;},{&quot;family&quot;:&quot;Rault&quot;,&quot;given&quot;:&quot;Christophe&quot;,&quot;parse-names&quot;:false,&quot;dropping-particle&quot;:&quot;&quot;,&quot;non-dropping-particle&quot;:&quot;&quot;}],&quot;URL&quot;:&quot;www.RePEc.org&quot;,&quot;issued&quot;:{&quot;date-parts&quot;:[[2022]]},&quot;container-title-short&quot;:&quot;&quot;},&quot;isTemporary&quot;:false,&quot;suppress-author&quot;:false,&quot;composite&quot;:false,&quot;author-only&quot;:false}]},{&quot;citationID&quot;:&quot;MENDELEY_CITATION_71c7cb63-9287-4fb3-950b-0d0b2d2baf69&quot;,&quot;properties&quot;:{&quot;noteIndex&quot;:0},&quot;isEdited&quot;:false,&quot;manualOverride&quot;:{&quot;isManuallyOverridden&quot;:false,&quot;citeprocText&quot;:&quot;(Le et al., 2024)&quot;,&quot;manualOverrideText&quot;:&quot;&quot;},&quot;citationTag&quot;:&quot;MENDELEY_CITATION_v3_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&quot;,&quot;citationItems&quot;:[{&quot;id&quot;:&quot;96865c7e-556a-30fa-9c00-f10ebce94dcb&quot;,&quot;itemData&quot;:{&quot;type&quot;:&quot;article-journal&quot;,&quot;id&quot;:&quot;96865c7e-556a-30fa-9c00-f10ebce94dcb&quot;,&quot;title&quot;:&quot;Investigating factors influencing oil volatility: a GARCH-MIDAS model analysis&quot;,&quot;author&quot;:[{&quot;family&quot;:&quot;Le&quot;,&quot;given&quot;:&quot;Yiyi&quot;,&quot;parse-names&quot;:false,&quot;dropping-particle&quot;:&quot;&quot;,&quot;non-dropping-particle&quot;:&quot;&quot;},{&quot;family&quot;:&quot;Wen&quot;,&quot;given&quot;:&quot;Jing&quot;,&quot;parse-names&quot;:false,&quot;dropping-particle&quot;:&quot;&quot;,&quot;non-dropping-particle&quot;:&quot;&quot;},{&quot;family&quot;:&quot;Wu&quot;,&quot;given&quot;:&quot;Yuchen&quot;,&quot;parse-names&quot;:false,&quot;dropping-particle&quot;:&quot;&quot;,&quot;non-dropping-particle&quot;:&quot;&quot;},{&quot;family&quot;:&quot;Liu&quot;,&quot;given&quot;:&quot;Jia&quot;,&quot;parse-names&quot;:false,&quot;dropping-particle&quot;:&quot;&quot;,&quot;non-dropping-particle&quot;:&quot;&quot;},{&quot;family&quot;:&quot;Zhu&quot;,&quot;given&quot;:&quot;Yuchen&quot;,&quot;parse-names&quot;:false,&quot;dropping-particle&quot;:&quot;&quot;,&quot;non-dropping-particle&quot;:&quot;&quot;}],&quot;container-title&quot;:&quot;Frontiers in Energy Research&quot;,&quot;container-title-short&quot;:&quot;Front. Energy Res.&quot;,&quot;DOI&quot;:&quot;10.3389/fenrg.2024.1392905&quot;,&quot;ISSN&quot;:&quot;2296598X&quot;,&quot;issued&quot;:{&quot;date-parts&quot;:[[2024]]},&quot;abstract&quot;:&quot;This study explores the main factors influencing international oil price fluctuations, selecting five influential variables: the consumer price index (CPI), industrial production index (IPI), global rig count (ADU), economic policy uncertainty index (EPU), and geopolitical risk index (GRI) based on previous literature. Employing the GARCH-MIDAS model, this research analyzes comparative effects on WTI international oil prices. Our findings highlight the varying degrees of influence, with IPI showing a stronger impact and EPU indicating broader economic implications. The GRI index responds primarily to specific geopolitical events with delayed fluctuations. Our study’s novelty lies in the empirical investigation using the GARCH-MIDAS model, offering valuable insights for policymakers to manage oil price volatility effectively, particularly by addressing economic policy uncertainty as a critical factor.&quot;,&quot;publisher&quot;:&quot;Frontiers Media SA&quot;,&quot;volume&quot;:&quot;12&quot;},&quot;isTemporary&quot;:false,&quot;suppress-author&quot;:false,&quot;composite&quot;:false,&quot;author-only&quot;:false}]},{&quot;citationID&quot;:&quot;MENDELEY_CITATION_587c4ded-754c-43de-acfe-a8b5ba1c4944&quot;,&quot;properties&quot;:{&quot;noteIndex&quot;:0},&quot;isEdited&quot;:false,&quot;manualOverride&quot;:{&quot;isManuallyOverridden&quot;:false,&quot;citeprocText&quot;:&quot;(Kondoz et al., 2019)&quot;,&quot;manualOverrideText&quot;:&quot;&quot;},&quot;citationTag&quot;:&quot;MENDELEY_CITATION_v3_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&quot;,&quot;citationItems&quot;:[{&quot;id&quot;:&quot;515dee1f-19d0-3d31-8a7d-c778077f1b08&quot;,&quot;itemData&quot;:{&quot;type&quot;:&quot;article-journal&quot;,&quot;id&quot;:&quot;515dee1f-19d0-3d31-8a7d-c778077f1b08&quot;,&quot;title&quot;:&quot;Testing the volatility spillover between crude oil price and the U.S. stock market returns&quot;,&quot;author&quot;:[{&quot;family&quot;:&quot;Kondoz&quot;,&quot;given&quot;:&quot;Mehmet&quot;,&quot;parse-names&quot;:false,&quot;dropping-particle&quot;:&quot;&quot;,&quot;non-dropping-particle&quot;:&quot;&quot;},{&quot;family&quot;:&quot;Bora&quot;,&quot;given&quot;:&quot;Ilhan&quot;,&quot;parse-names&quot;:false,&quot;dropping-particle&quot;:&quot;&quot;,&quot;non-dropping-particle&quot;:&quot;&quot;},{&quot;family&quot;:&quot;Kirikkaleli&quot;,&quot;given&quot;:&quot;Dervis&quot;,&quot;parse-names&quot;:false,&quot;dropping-particle&quot;:&quot;&quot;,&quot;non-dropping-particle&quot;:&quot;&quot;},{&quot;family&quot;:&quot;Athari&quot;,&quot;given&quot;:&quot;Seyed Alireza&quot;,&quot;parse-names&quot;:false,&quot;dropping-particle&quot;:&quot;&quot;,&quot;non-dropping-particle&quot;:&quot;&quot;}],&quot;container-title&quot;:&quot;Management Science Letters&quot;,&quot;DOI&quot;:&quot;10.5267/j.msl.2019.4.019&quot;,&quot;ISSN&quot;:&quot;19239343&quot;,&quot;issued&quot;:{&quot;date-parts&quot;:[[2019]]},&quot;page&quot;:&quot;1221-1230&quot;,&quot;abstract&quot;:&quot;The study aims to examine the volatility transmission between the West Texas Intermediate (WTI) crude oil price returns and the U.S. stock market (S&amp;P500 index) returns for the period 2006-2016. In the empirical analyses, univariate GARCH and multivariate GARCH (BEKK-GARCH) models are employed to investigate potential volatility spillover effect of crude oil price returns on the S&amp;P500 index returns or vice versa. The results of GARCH methods reveal that (i) volatility spillover effect of S&amp;P500 index returns on the crude oil returns is more significant than the volatility spillover effect of crude oil on the S&amp;P500 index returns by using univariate GARCH model; and (ii) there is a one way volatility spillover effect that runs from S&amp;P500 index returns to crude oil returns when we apply multivariate BEKK-GARCH model. These findings have implications for investors and oil-stock portfolio holders for their portfolio decisions in order to manage their risks on their international investments. Further, crude oil investment participants should consider the changes in U.S. stock market index returns in order to predict the expected volatility in the crude oil returns.&quot;,&quot;publisher&quot;:&quot;Growing Science&quot;,&quot;issue&quot;:&quot;8&quot;,&quot;volume&quot;:&quot;9&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76DA1B23-A7C7-498F-86A5-C7D0580AF3F2}">
  <we:reference id="wa200007297" version="1.5.0.0" store="en-US" storeType="OMEX"/>
  <we:alternateReferences>
    <we:reference id="WA200007297" version="1.5.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44995-DCCD-415B-A1D8-52F812D7E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8</Pages>
  <Words>2179</Words>
  <Characters>12424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kharis</dc:creator>
  <cp:keywords/>
  <cp:lastModifiedBy>abdul kharis</cp:lastModifiedBy>
  <cp:revision>4</cp:revision>
  <dcterms:created xsi:type="dcterms:W3CDTF">2026-05-18T03:06:00Z</dcterms:created>
  <dcterms:modified xsi:type="dcterms:W3CDTF">2026-05-19T16:17:00Z</dcterms:modified>
</cp:coreProperties>
</file>