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Supply Agreement</w:t>
      </w:r>
    </w:p>
    <w:p>
      <w:p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This Supply Agreement ("Agreement") is entered into as of June 17, 2026, by and between Jordan Supplies Co. (the "Supplier") and Acme MENA Holdings Ltd. (the "Buyer").</w:t>
      </w:r>
    </w:p>
    <w:p>
      <w:pPr>
        <w:pStyle w:val="Heading2"/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1. Scope of Supply</w:t>
      </w:r>
    </w:p>
    <w:p>
      <w:p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The Supplier agrees to supply the goods described in Schedule A attached hereto, in accordance with the specifications, quantities, and delivery schedule set forth therein.</w:t>
      </w:r>
    </w:p>
    <w:p>
      <w:pPr>
        <w:pStyle w:val="Heading2"/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2. Pricing and Payment</w:t>
      </w:r>
    </w:p>
    <w:p>
      <w:p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The total contract value is USD 250,000.00 (Two Hundred Fifty Thousand United States Dollars). Payment terms: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30% advance payment upon execution of this Agreement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40% upon delivery confirmation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30% within 60 days of acceptance</w:t>
      </w:r>
    </w:p>
    <w:p>
      <w:pPr>
        <w:pStyle w:val="Heading2"/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3. Warranties</w:t>
      </w:r>
    </w:p>
    <w:p>
      <w:p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The Supplier warrants that all goods delivered shall be </w:t>
      </w:r>
      <w:r>
        <w:rPr>
          <w:rFonts w:ascii="Arial" w:cs="Arial" w:eastAsia="Arial" w:hAnsi="Arial"/>
          <w:i/>
          <w:iCs/>
          <w:sz w:val="24"/>
          <w:szCs w:val="24"/>
          <w:rtl w:val="false"/>
        </w:rPr>
        <w:t xml:space="preserve">free from defects in material and workmanship</w:t>
      </w:r>
      <w:r>
        <w:rPr>
          <w:rFonts w:ascii="Arial" w:cs="Arial" w:eastAsia="Arial" w:hAnsi="Arial"/>
          <w:sz w:val="24"/>
          <w:szCs w:val="24"/>
          <w:rtl w:val="false"/>
        </w:rPr>
        <w:t xml:space="preserve"> for a period of twelve (12) months from the date of delivery.</w:t>
      </w:r>
    </w:p>
    <w:p>
      <w:pPr>
        <w:pStyle w:val="Heading2"/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4. Limitation of Liability</w:t>
      </w:r>
    </w:p>
    <w:p>
      <w:p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The aggregate liability of the Supplier under this Agreement shall not exceed 100% of the total contract value. In no event shall either party be liable for indirect, incidental, or consequential damages.</w:t>
      </w:r>
    </w:p>
    <w:p>
      <w:pPr>
        <w:pStyle w:val="Heading2"/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5. Governing Law and Dispute Resolution</w:t>
      </w:r>
    </w:p>
    <w:p>
      <w:pPr>
        <w:bidi w:val="false"/>
        <w:jc w:val="left"/>
      </w:pPr>
      <w:r>
        <w:rPr>
          <w:rFonts w:ascii="Arial" w:cs="Arial" w:eastAsia="Arial" w:hAnsi="Arial"/>
          <w:sz w:val="24"/>
          <w:szCs w:val="24"/>
          <w:rtl w:val="false"/>
        </w:rPr>
        <w:t xml:space="preserve">This Agreement shall be governed by the laws of the Hashemite Kingdom of Jordan. Any dispute shall be resolved by arbitration under the rules of the Amman Chamber of Commerce.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2026-06-21T15:29:07.254Z</dcterms:created>
  <dcterms:modified xsi:type="dcterms:W3CDTF">2026-06-21T15:29:07.254Z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