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  <w:rtl/>
        </w:rPr>
        <w:t xml:space="preserve">اتفاقية شراء أسهم</w:t>
      </w:r>
    </w:p>
    <w:p/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  <w:rtl/>
        </w:rPr>
        <w:t xml:space="preserve">أبرمت هذه الاتفاقية بتاريخ 17 يونيو 2026 بين شركة الأردن للتوريدات (المشار إليها فيما يلي بـ "البائع") وشركة Acme MENA Holdings (المشار إليها فيما يلي بـ "المشتري").</w:t>
      </w:r>
    </w:p>
    <w:p/>
    <w:p>
      <w:pPr>
        <w:pStyle w:val="Heading2"/>
        <w:bidi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  <w:rtl/>
        </w:rPr>
        <w:t xml:space="preserve">1. موضوع الاتفاقية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  <w:rtl/>
        </w:rPr>
        <w:t xml:space="preserve">يقوم البائع ببيع جميع الأسهم العادية للشركة محل الصفقة إلى المشتري وفقاً للشروط المنصوص عليها في هذه الاتفاقية.</w:t>
      </w:r>
    </w:p>
    <w:p/>
    <w:p>
      <w:pPr>
        <w:pStyle w:val="Heading2"/>
        <w:bidi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  <w:rtl/>
        </w:rPr>
        <w:t xml:space="preserve">2. ثمن الشراء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  <w:rtl/>
        </w:rPr>
        <w:t xml:space="preserve">يبلغ ثمن الشراء الإجمالي مبلغ 500,000 دولار أمريكي (خمسمائة ألف دولار أمريكي)، يُدفع على النحو التالي: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50% عند التوقيع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25% خلال 30 يوماً من تاريخ الإغلاق</w:t>
      </w:r>
    </w:p>
    <w:p>
      <w:pPr>
        <w:pStyle w:val="ListParagraph"/>
        <w:numPr>
          <w:ilvl w:val="0"/>
          <w:numId w:val="1"/>
        </w:numPr>
        <w:bidi/>
        <w:jc w:val="right"/>
      </w:pPr>
      <w:r>
        <w:rPr>
          <w:rFonts w:ascii="Arial" w:cs="Arial" w:eastAsia="Arial" w:hAnsi="Arial"/>
          <w:sz w:val="24"/>
          <w:szCs w:val="24"/>
          <w:rtl/>
        </w:rPr>
        <w:t xml:space="preserve">25% خلال 90 يوماً من تاريخ الإغلاق</w:t>
      </w:r>
    </w:p>
    <w:p/>
    <w:p>
      <w:pPr>
        <w:pStyle w:val="Heading2"/>
        <w:bidi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  <w:rtl/>
        </w:rPr>
        <w:t xml:space="preserve">3. الضمانات والإقرارات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  <w:rtl/>
        </w:rPr>
        <w:t xml:space="preserve">يقر البائع ويضمن أن الشركة </w:t>
      </w:r>
      <w:r>
        <w:rPr>
          <w:rFonts w:ascii="Arial" w:cs="Arial" w:eastAsia="Arial" w:hAnsi="Arial"/>
          <w:b/>
          <w:bCs/>
          <w:i w:val="false"/>
          <w:iCs w:val="false"/>
          <w:sz w:val="24"/>
          <w:szCs w:val="24"/>
          <w:rtl/>
        </w:rPr>
        <w:t xml:space="preserve">ليس عليها أي التزامات مالية غير مفصح عنها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  <w:rtl/>
        </w:rPr>
        <w:t xml:space="preserve"> وأنها ملتزمة بجميع القوانين المعمول بها في المملكة الأردنية الهاشمية.</w:t>
      </w:r>
    </w:p>
    <w:p/>
    <w:p>
      <w:pPr>
        <w:pStyle w:val="Heading2"/>
        <w:bidi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8"/>
          <w:szCs w:val="28"/>
          <w:rtl/>
        </w:rPr>
        <w:t xml:space="preserve">4. القانون الواجب التطبيق</w:t>
      </w:r>
    </w:p>
    <w:p>
      <w:pPr>
        <w:bidi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4"/>
          <w:szCs w:val="24"/>
          <w:rtl/>
        </w:rPr>
        <w:t xml:space="preserve">تخضع هذه الاتفاقية للقانون الأردني، ويختص بنظر أي نزاع ينشأ عنها محكمة الاستئناف الأردنية في عمّان.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2026-06-21T15:26:11.156Z</dcterms:created>
  <dcterms:modified xsi:type="dcterms:W3CDTF">2026-06-21T15:26:11.156Z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