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Supply Agreement</w:t>
      </w:r>
    </w:p>
    <w:p/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This Supply Agreement ("Agreement") is entered into as of June 17, 2026, by and between Jordan Supplies Co. (the "Supplier") and Acme MENA Holdings Ltd. (the "Buyer").</w:t>
      </w:r>
    </w:p>
    <w:p/>
    <w:p>
      <w:pPr>
        <w:pStyle w:val="Heading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1. Scope of Supply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Supplier agrees to supply the goods described in Schedule A attached hereto, in accordance with the specifications, quantities, and delivery schedule set forth therein.</w:t>
      </w:r>
    </w:p>
    <w:p/>
    <w:p>
      <w:pPr>
        <w:pStyle w:val="Heading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2. Pricing and Payment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total contract value is USD 250,000.00 (Two Hundred Fifty Thousand United States Dollars). Payment terms:</w:t>
      </w:r>
    </w:p>
    <w:p>
      <w:pPr>
        <w:pStyle w:val="ListParagraph"/>
        <w:numPr>
          <w:ilvl w:val="0"/>
          <w:numId w:val="2"/>
        </w:numPr>
        <w:jc w:val="left"/>
      </w:pPr>
      <w:r>
        <w:rPr>
          <w:rFonts w:ascii="Arial" w:cs="Arial" w:eastAsia="Arial" w:hAnsi="Arial"/>
          <w:sz w:val="24"/>
          <w:szCs w:val="24"/>
        </w:rPr>
        <w:t xml:space="preserve">30% advance payment upon execution of this Agreement</w:t>
      </w:r>
    </w:p>
    <w:p>
      <w:pPr>
        <w:pStyle w:val="ListParagraph"/>
        <w:numPr>
          <w:ilvl w:val="0"/>
          <w:numId w:val="2"/>
        </w:numPr>
        <w:jc w:val="left"/>
      </w:pPr>
      <w:r>
        <w:rPr>
          <w:rFonts w:ascii="Arial" w:cs="Arial" w:eastAsia="Arial" w:hAnsi="Arial"/>
          <w:sz w:val="24"/>
          <w:szCs w:val="24"/>
        </w:rPr>
        <w:t xml:space="preserve">40% upon delivery confirmation</w:t>
      </w:r>
    </w:p>
    <w:p>
      <w:pPr>
        <w:pStyle w:val="ListParagraph"/>
        <w:numPr>
          <w:ilvl w:val="0"/>
          <w:numId w:val="2"/>
        </w:numPr>
        <w:jc w:val="left"/>
      </w:pPr>
      <w:r>
        <w:rPr>
          <w:rFonts w:ascii="Arial" w:cs="Arial" w:eastAsia="Arial" w:hAnsi="Arial"/>
          <w:sz w:val="24"/>
          <w:szCs w:val="24"/>
        </w:rPr>
        <w:t xml:space="preserve">30% within 60 days of acceptance</w:t>
      </w:r>
    </w:p>
    <w:p/>
    <w:p>
      <w:pPr>
        <w:pStyle w:val="Heading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3. Warranties</w:t>
      </w:r>
    </w:p>
    <w:p>
      <w:pPr>
        <w:bidi w:val="false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  <w:rtl w:val="false"/>
        </w:rPr>
        <w:t xml:space="preserve">The Supplier warrants that all goods delivered shall be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  <w:rtl w:val="false"/>
        </w:rPr>
        <w:t xml:space="preserve">free from defects in material and workmanship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  <w:rtl w:val="false"/>
        </w:rPr>
        <w:t xml:space="preserve"> for a period of twelve (12) months from the date of delivery.</w:t>
      </w:r>
    </w:p>
    <w:p/>
    <w:p>
      <w:pPr>
        <w:pStyle w:val="Heading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4. Limitation of Liability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aggregate liability of the Supplier under this Agreement shall not exceed 100% of the total contract value. In no event shall either party be liable for indirect, incidental, or consequential damages.</w:t>
      </w:r>
    </w:p>
    <w:p/>
    <w:p>
      <w:pPr>
        <w:pStyle w:val="Heading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</w:rPr>
        <w:t xml:space="preserve">5. Governing Law and Dispute Resolution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This Agreement shall be governed by the laws of the Hashemite Kingdom of Jordan. Any dispute shall be resolved by arbitration under the rules of the Amman Chamber of Commerce.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2026-06-21T15:26:11.170Z</dcterms:created>
  <dcterms:modified xsi:type="dcterms:W3CDTF">2026-06-21T15:26:11.170Z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