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160" w:line="240" w:lineRule="auto"/>
        <w:jc w:val="center"/>
        <w:rPr>
          <w:rFonts w:ascii="Times New Roman" w:cs="Times New Roman" w:eastAsia="Times New Roman" w:hAnsi="Times New Roman"/>
          <w:color w:val="17365d"/>
          <w:sz w:val="32"/>
          <w:szCs w:val="32"/>
        </w:rPr>
      </w:pPr>
      <w:r w:rsidDel="00000000" w:rsidR="00000000" w:rsidRPr="00000000">
        <w:rPr>
          <w:rFonts w:ascii="Times New Roman" w:cs="Times New Roman" w:eastAsia="Times New Roman" w:hAnsi="Times New Roman"/>
          <w:color w:val="17365d"/>
          <w:sz w:val="32"/>
          <w:szCs w:val="32"/>
          <w:rtl w:val="0"/>
        </w:rPr>
        <w:t xml:space="preserve">Audio and Language options now available:</w:t>
      </w:r>
    </w:p>
    <w:p w:rsidR="00000000" w:rsidDel="00000000" w:rsidP="00000000" w:rsidRDefault="00000000" w:rsidRPr="00000000" w14:paraId="00000002">
      <w:pPr>
        <w:jc w:val="center"/>
        <w:rPr>
          <w:rFonts w:ascii="Times New Roman" w:cs="Times New Roman" w:eastAsia="Times New Roman" w:hAnsi="Times New Roman"/>
          <w:sz w:val="32"/>
          <w:szCs w:val="32"/>
        </w:rPr>
      </w:pPr>
      <w:hyperlink r:id="rId6">
        <w:r w:rsidDel="00000000" w:rsidR="00000000" w:rsidRPr="00000000">
          <w:rPr>
            <w:rFonts w:ascii="Times New Roman" w:cs="Times New Roman" w:eastAsia="Times New Roman" w:hAnsi="Times New Roman"/>
            <w:color w:val="1155cc"/>
            <w:sz w:val="32"/>
            <w:szCs w:val="32"/>
            <w:u w:val="single"/>
            <w:rtl w:val="0"/>
          </w:rPr>
          <w:t xml:space="preserve">Language and Audio Links </w:t>
        </w:r>
      </w:hyperlink>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Languages Available: English, Portuguese (BR), Spanish, Greek, Russian,Belarusian, Arabic, Hebrew</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pStyle w:val="Title"/>
        <w:keepNext w:val="0"/>
        <w:keepLines w:val="0"/>
        <w:pBdr>
          <w:bottom w:color="4f81bd" w:space="4" w:sz="8" w:val="single"/>
        </w:pBdr>
        <w:spacing w:after="160" w:line="240" w:lineRule="auto"/>
        <w:jc w:val="center"/>
        <w:rPr>
          <w:rFonts w:ascii="Times New Roman" w:cs="Times New Roman" w:eastAsia="Times New Roman" w:hAnsi="Times New Roman"/>
          <w:color w:val="17365d"/>
          <w:sz w:val="32"/>
          <w:szCs w:val="32"/>
        </w:rPr>
      </w:pPr>
      <w:r w:rsidDel="00000000" w:rsidR="00000000" w:rsidRPr="00000000">
        <w:rPr>
          <w:rtl w:val="0"/>
        </w:rPr>
        <w:t xml:space="preserve">Islam as the Post-Temple Continuation of Biblical Monotheism and Prophetic Religion</w:t>
      </w:r>
      <w:r w:rsidDel="00000000" w:rsidR="00000000" w:rsidRPr="00000000">
        <w:rPr>
          <w:rtl w:val="0"/>
        </w:rPr>
      </w:r>
    </w:p>
    <w:p w:rsidR="00000000" w:rsidDel="00000000" w:rsidP="00000000" w:rsidRDefault="00000000" w:rsidRPr="00000000" w14:paraId="00000008">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Author’s Note (Purpose and Limits)</w:t>
      </w:r>
      <w:r w:rsidDel="00000000" w:rsidR="00000000" w:rsidRPr="00000000">
        <w:rPr>
          <w:rtl w:val="0"/>
        </w:rPr>
      </w:r>
    </w:p>
    <w:p w:rsidR="00000000" w:rsidDel="00000000" w:rsidP="00000000" w:rsidRDefault="00000000" w:rsidRPr="00000000" w14:paraId="0000000A">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study offers a comparative historical-theological analysis of how biblical monotheism was reconfigured after the destruction of the Second Temple (70 CE). It examines how Judaism, Christianity, and Islam each frame worship, repentance, law, and authority in a post-Temple setting, quoting primary texts so readers can evaluate the argument directly.</w:t>
      </w:r>
      <w:r w:rsidDel="00000000" w:rsidR="00000000" w:rsidRPr="00000000">
        <w:rPr>
          <w:rtl w:val="0"/>
        </w:rPr>
      </w:r>
    </w:p>
    <w:p w:rsidR="00000000" w:rsidDel="00000000" w:rsidP="00000000" w:rsidRDefault="00000000" w:rsidRPr="00000000" w14:paraId="0000000B">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C">
      <w:pPr>
        <w:spacing w:after="120" w:line="276" w:lineRule="auto"/>
        <w:rPr>
          <w:rFonts w:ascii="Times New Roman" w:cs="Times New Roman" w:eastAsia="Times New Roman" w:hAnsi="Times New Roman"/>
          <w:sz w:val="24"/>
          <w:szCs w:val="24"/>
        </w:rPr>
      </w:pPr>
      <w:r w:rsidDel="00000000" w:rsidR="00000000" w:rsidRPr="00000000">
        <w:rPr>
          <w:rtl w:val="0"/>
        </w:rPr>
        <w:t xml:space="preserve">The destruction of the Second Temple in 70 CE made the altar-centered sacrificial system of the Torah historically inoperable, raising a continuity problem for a religion structured around enacted worship and law. The comparison approaches the problem through a comparative historical-theological analysis of post-Temple responses, asking how worship, repentance, and authority are sustained when the sanctuary cult is no longer available. Rabbinic Judaism preserves covenantal life through prayer, study, and halakhic continuity while awaiting restoration. Christianity, in its dominant development, re-centers atonement in the crucifixion and interprets the Temple’s loss through that event. Islam presents a different model: a law-governed, portable form of prophetic monotheism that remains practicable without an altar or priesthood, anchored in conveyed revelation and a stable pattern of public worship. The comparison clarifies how these trajectories resolve operability and continuity in distinct ways in the post-70 landscape. Thus, Islam frames itself as a post-Temple restoration of biblical monotheism rather than a departure from it.</w:t>
      </w:r>
      <w:r w:rsidDel="00000000" w:rsidR="00000000" w:rsidRPr="00000000">
        <w:rPr>
          <w:rtl w:val="0"/>
        </w:rPr>
      </w:r>
    </w:p>
    <w:p w:rsidR="00000000" w:rsidDel="00000000" w:rsidP="00000000" w:rsidRDefault="00000000" w:rsidRPr="00000000" w14:paraId="0000000D">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Method and Scope</w:t>
      </w:r>
      <w:r w:rsidDel="00000000" w:rsidR="00000000" w:rsidRPr="00000000">
        <w:rPr>
          <w:rtl w:val="0"/>
        </w:rPr>
      </w:r>
    </w:p>
    <w:p w:rsidR="00000000" w:rsidDel="00000000" w:rsidP="00000000" w:rsidRDefault="00000000" w:rsidRPr="00000000" w14:paraId="0000000E">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study compares three post-Temple trajectories—rabbinic Judaism, Christianity, and Islam—by cumulative fit rather than by isolated proof-texts. It begins from the historical rupture of 70 CE and evaluates how each tradition sustains worship, repentance, law, and authority when the Temple’s altar-based system is no longer available. The scope is limited to these structural questions; it does not attempt a comprehensive history of later doctrinal development. Biblical quotations are given in English for readability (KJV for consistency, especially in the New Testament; Hebrew Bible/Tanakh citations are identified where a Jewish translation is used); Qur’anic quotations are provided in standard English rendering. The intended reader is a non-specialist willing to follow the comparison step by step.</w:t>
      </w:r>
      <w:r w:rsidDel="00000000" w:rsidR="00000000" w:rsidRPr="00000000">
        <w:rPr>
          <w:rtl w:val="0"/>
        </w:rPr>
      </w:r>
    </w:p>
    <w:p w:rsidR="00000000" w:rsidDel="00000000" w:rsidP="00000000" w:rsidRDefault="00000000" w:rsidRPr="00000000" w14:paraId="0000000F">
      <w:pPr>
        <w:pStyle w:val="Heading1"/>
        <w:spacing w:line="276" w:lineRule="auto"/>
        <w:rPr/>
      </w:pPr>
      <w:r w:rsidDel="00000000" w:rsidR="00000000" w:rsidRPr="00000000">
        <w:rPr>
          <w:rtl w:val="0"/>
        </w:rPr>
        <w:t xml:space="preserve">Introduction</w:t>
      </w:r>
    </w:p>
    <w:p w:rsidR="00000000" w:rsidDel="00000000" w:rsidP="00000000" w:rsidRDefault="00000000" w:rsidRPr="00000000" w14:paraId="00000010">
      <w:pPr>
        <w:spacing w:after="120" w:line="276" w:lineRule="auto"/>
        <w:rPr>
          <w:rFonts w:ascii="Times New Roman" w:cs="Times New Roman" w:eastAsia="Times New Roman" w:hAnsi="Times New Roman"/>
          <w:sz w:val="24"/>
          <w:szCs w:val="24"/>
        </w:rPr>
      </w:pPr>
      <w:r w:rsidDel="00000000" w:rsidR="00000000" w:rsidRPr="00000000">
        <w:rPr>
          <w:rtl w:val="0"/>
        </w:rPr>
        <w:t xml:space="preserve">Most conversations about Judaism, Christianity, and Islam begin too late. They start with modern identities or later doctrines, without first explaining the biblical world those doctrines presuppose. This study begins with that structure.</w:t>
      </w:r>
      <w:r w:rsidDel="00000000" w:rsidR="00000000" w:rsidRPr="00000000">
        <w:rPr>
          <w:rtl w:val="0"/>
        </w:rPr>
      </w:r>
    </w:p>
    <w:p w:rsidR="00000000" w:rsidDel="00000000" w:rsidP="00000000" w:rsidRDefault="00000000" w:rsidRPr="00000000" w14:paraId="00000011">
      <w:pPr>
        <w:pStyle w:val="Heading1"/>
        <w:spacing w:line="276" w:lineRule="auto"/>
        <w:rPr/>
      </w:pPr>
      <w:r w:rsidDel="00000000" w:rsidR="00000000" w:rsidRPr="00000000">
        <w:rPr>
          <w:rtl w:val="0"/>
        </w:rPr>
        <w:t xml:space="preserve">Why This Matters</w:t>
      </w:r>
    </w:p>
    <w:p w:rsidR="00000000" w:rsidDel="00000000" w:rsidP="00000000" w:rsidRDefault="00000000" w:rsidRPr="00000000" w14:paraId="00000012">
      <w:pPr>
        <w:spacing w:line="276" w:lineRule="auto"/>
        <w:rPr/>
      </w:pPr>
      <w:r w:rsidDel="00000000" w:rsidR="00000000" w:rsidRPr="00000000">
        <w:rPr>
          <w:rtl w:val="0"/>
        </w:rPr>
        <w:t xml:space="preserve">The Temple’s destruction is a test case for a broader problem in religious history: how a law-bearing tradition sustains public worship and authority when its central institution collapses. By comparing post-70 models, the essay clarifies the different ways continuity can be maintained—through preservation under deprivation, through reinterpretation of atonement and authority, or through claims of renewed guidance that do not depend on a sanctuary.</w:t>
      </w:r>
    </w:p>
    <w:p w:rsidR="00000000" w:rsidDel="00000000" w:rsidP="00000000" w:rsidRDefault="00000000" w:rsidRPr="00000000" w14:paraId="00000013">
      <w:pPr>
        <w:spacing w:after="120" w:line="276" w:lineRule="auto"/>
        <w:rPr>
          <w:rFonts w:ascii="Times New Roman" w:cs="Times New Roman" w:eastAsia="Times New Roman" w:hAnsi="Times New Roman"/>
          <w:sz w:val="24"/>
          <w:szCs w:val="24"/>
        </w:rPr>
      </w:pPr>
      <w:r w:rsidDel="00000000" w:rsidR="00000000" w:rsidRPr="00000000">
        <w:rPr>
          <w:rtl w:val="0"/>
        </w:rPr>
        <w:t xml:space="preserve">Here “Torah” refers to the covenantal framework of worship and law in the books of Moses—a system that binds exclusive devotion to God to enacted obedience, communal life, and the scriptural treatment of sin and restoration. This establishes the baseline for the rupture described next.</w:t>
      </w:r>
      <w:r w:rsidDel="00000000" w:rsidR="00000000" w:rsidRPr="00000000">
        <w:rPr>
          <w:rtl w:val="0"/>
        </w:rPr>
      </w:r>
    </w:p>
    <w:p w:rsidR="00000000" w:rsidDel="00000000" w:rsidP="00000000" w:rsidRDefault="00000000" w:rsidRPr="00000000" w14:paraId="00000014">
      <w:pPr>
        <w:spacing w:after="120" w:line="276" w:lineRule="auto"/>
        <w:rPr>
          <w:rFonts w:ascii="Times New Roman" w:cs="Times New Roman" w:eastAsia="Times New Roman" w:hAnsi="Times New Roman"/>
          <w:sz w:val="24"/>
          <w:szCs w:val="24"/>
        </w:rPr>
      </w:pPr>
      <w:r w:rsidDel="00000000" w:rsidR="00000000" w:rsidRPr="00000000">
        <w:rPr>
          <w:rtl w:val="0"/>
        </w:rPr>
        <w:t xml:space="preserve">For over a millennium, biblical monotheism operated around a concrete institutional center. The worship of the God of Abraham, Isaac, and Jacob was not just theological but procedural. The Torah did not describe abstract devotion alone; it legislated an enacted system of obedience, repentance, and atonement anchored to a sanctuary and an altar. The life of the covenant was lived through commandments that could be practiced publicly, repeatedly, and in full. The Torah is explicit on this point: the prescribed means by which sin is addressed and restoration is discussed within the covenant.</w:t>
      </w:r>
      <w:r w:rsidDel="00000000" w:rsidR="00000000" w:rsidRPr="00000000">
        <w:rPr>
          <w:rtl w:val="0"/>
        </w:rPr>
      </w:r>
    </w:p>
    <w:p w:rsidR="00000000" w:rsidDel="00000000" w:rsidP="00000000" w:rsidRDefault="00000000" w:rsidRPr="00000000" w14:paraId="00000015">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“For the life of the flesh is in the blood, and I have given it to you upon the altar to make atonement for your souls; for it is the blood that makes atonement by reason of the life.” (Leviticus 17:11, KJV)</w:t>
      </w:r>
      <w:r w:rsidDel="00000000" w:rsidR="00000000" w:rsidRPr="00000000">
        <w:rPr>
          <w:rtl w:val="0"/>
        </w:rPr>
      </w:r>
    </w:p>
    <w:p w:rsidR="00000000" w:rsidDel="00000000" w:rsidP="00000000" w:rsidRDefault="00000000" w:rsidRPr="00000000" w14:paraId="00000016">
      <w:pPr>
        <w:spacing w:after="120" w:line="276" w:lineRule="auto"/>
        <w:rPr>
          <w:rFonts w:ascii="Times New Roman" w:cs="Times New Roman" w:eastAsia="Times New Roman" w:hAnsi="Times New Roman"/>
          <w:sz w:val="24"/>
          <w:szCs w:val="24"/>
        </w:rPr>
      </w:pPr>
      <w:r w:rsidDel="00000000" w:rsidR="00000000" w:rsidRPr="00000000">
        <w:rPr>
          <w:rtl w:val="0"/>
        </w:rPr>
        <w:t xml:space="preserve">Leviticus frames atonement as an altar-act involving blood. Once the altar is absent from history, the Torah’s prescribed mechanism cannot be carried out as written. The resulting continuity problem is practical and textual: commands remain on the page, while the means of compliance disappears.</w:t>
      </w:r>
      <w:r w:rsidDel="00000000" w:rsidR="00000000" w:rsidRPr="00000000">
        <w:rPr>
          <w:rtl w:val="0"/>
        </w:rPr>
      </w:r>
    </w:p>
    <w:p w:rsidR="00000000" w:rsidDel="00000000" w:rsidP="00000000" w:rsidRDefault="00000000" w:rsidRPr="00000000" w14:paraId="00000017">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line="276" w:lineRule="auto"/>
        <w:rPr>
          <w:rFonts w:ascii="Times New Roman" w:cs="Times New Roman" w:eastAsia="Times New Roman" w:hAnsi="Times New Roman"/>
          <w:sz w:val="24"/>
          <w:szCs w:val="24"/>
        </w:rPr>
      </w:pPr>
      <w:r w:rsidDel="00000000" w:rsidR="00000000" w:rsidRPr="00000000">
        <w:rPr>
          <w:rtl w:val="0"/>
        </w:rPr>
        <w:t xml:space="preserve">From this point forward, the religious history of the Abrahamic tradition visibly diverges, not because of abstract doctrinal disagreement, but because different answers are offered to this single structural problem. Rabbinic Judaism responds by preserving covenantal identity through prayer, study, and halakhic continuity, faithfully maintaining the Torah’s authority while living within the reality of exile and awaiting restoration. Christianity, in its dominant post‑Temple development, resolves the rupture by re-centering atonement in the crucifixion, effectively relocating the altar from a physical site into a once-for-all salvific event. Islam, by contrast, claims something distinct: that God restores prophetic religion itself—repentance, obedience, law, and direct worship—in a form that is portable, universal, and independent of a sanctuary, while still claiming continuity with Abrahamic monotheism.</w:t>
      </w:r>
      <w:r w:rsidDel="00000000" w:rsidR="00000000" w:rsidRPr="00000000">
        <w:rPr>
          <w:rtl w:val="0"/>
        </w:rPr>
      </w:r>
    </w:p>
    <w:p w:rsidR="00000000" w:rsidDel="00000000" w:rsidP="00000000" w:rsidRDefault="00000000" w:rsidRPr="00000000" w14:paraId="00000019">
      <w:pPr>
        <w:spacing w:after="120" w:line="276" w:lineRule="auto"/>
        <w:rPr>
          <w:rFonts w:ascii="Times New Roman" w:cs="Times New Roman" w:eastAsia="Times New Roman" w:hAnsi="Times New Roman"/>
          <w:sz w:val="24"/>
          <w:szCs w:val="24"/>
        </w:rPr>
      </w:pPr>
      <w:r w:rsidDel="00000000" w:rsidR="00000000" w:rsidRPr="00000000">
        <w:rPr>
          <w:rtl w:val="0"/>
        </w:rPr>
        <w:t xml:space="preserve">It begins by insisting that the rupture is real, the problem unavoidable, and the solutions meaningfully different. Only once that historical and textual crisis is acknowledged can later claims about prophecy, law, and continuity be evaluated without distortion.</w:t>
      </w:r>
      <w:r w:rsidDel="00000000" w:rsidR="00000000" w:rsidRPr="00000000">
        <w:rPr>
          <w:rtl w:val="0"/>
        </w:rPr>
      </w:r>
    </w:p>
    <w:p w:rsidR="00000000" w:rsidDel="00000000" w:rsidP="00000000" w:rsidRDefault="00000000" w:rsidRPr="00000000" w14:paraId="0000001A">
      <w:pPr>
        <w:spacing w:after="120" w:line="276" w:lineRule="auto"/>
        <w:rPr>
          <w:rFonts w:ascii="Times New Roman" w:cs="Times New Roman" w:eastAsia="Times New Roman" w:hAnsi="Times New Roman"/>
          <w:sz w:val="24"/>
          <w:szCs w:val="24"/>
        </w:rPr>
      </w:pPr>
      <w:r w:rsidDel="00000000" w:rsidR="00000000" w:rsidRPr="00000000">
        <w:rPr>
          <w:rtl w:val="0"/>
        </w:rPr>
        <w:t xml:space="preserve">Several scriptural strands are read together to form a coherent profile: uncompromising monotheism; repentance and obedience as the core of religion; law-bearing guidance that orders communal life; and a widening horizon in which divine guidance is not forever confined to one lineage or one locus. That widening horizon is not introduced by Islam. The biblical text already speaks of stages and shifts in stewardship without abandoning monotheism: Sinai is central, yet Seir and Paran appear in the horizon; Isaac is chosen, yet Ishmael is promised nationhood; Jerusalem is centered, yet the nations are envisioned turning to God. These motifs are not a map. They establish a textual room: Scripture itself allows guidance to move beyond a single institutional center when history demands it. Within that framework, later claims are evaluated not by forcing them into one verse, but by asking whether, after the post-Temple rupture, they deliver the kind of continuation the biblical grammar makes intelligible. Before comparing later trajectories, the essay establishes the Torah–Prophets baseline, notes Judaism’s post‑70 covenantal continuity, and then considers late Second Temple voices (including Jesus) as reference points later continuity debates often invoke.</w:t>
      </w:r>
      <w:r w:rsidDel="00000000" w:rsidR="00000000" w:rsidRPr="00000000">
        <w:rPr>
          <w:rtl w:val="0"/>
        </w:rPr>
      </w:r>
    </w:p>
    <w:p w:rsidR="00000000" w:rsidDel="00000000" w:rsidP="00000000" w:rsidRDefault="00000000" w:rsidRPr="00000000" w14:paraId="0000001B">
      <w:pPr>
        <w:spacing w:after="120" w:line="276" w:lineRule="auto"/>
        <w:rPr>
          <w:rFonts w:ascii="Times New Roman" w:cs="Times New Roman" w:eastAsia="Times New Roman" w:hAnsi="Times New Roman"/>
          <w:sz w:val="24"/>
          <w:szCs w:val="24"/>
        </w:rPr>
      </w:pPr>
      <w:r w:rsidDel="00000000" w:rsidR="00000000" w:rsidRPr="00000000">
        <w:rPr>
          <w:rtl w:val="0"/>
        </w:rPr>
        <w:t xml:space="preserve">The argument proceeds in four movements. First, it frames the post-70 CE loss of the altar as a real, text-created crisis of practice, not a merely emotional event. Second, it establishes a baseline from the Torah and the Prophets, where worship of God alone, repentance, and obedience frame covenantal life. Third, it describes Jewish post-Temple continuity on its own terms and then considers late Second Temple voices (including Jesus) as contemporaneous reference points that later continuity debates often appeal to. Fourth, it compares the major post-Temple trajectories (rabbinic Judaism, Pauline Christianity, and Islam) and asks which one sustains an operable, portable form of Abrahamic worship while preserving uncompromising monotheism.</w:t>
      </w:r>
      <w:r w:rsidDel="00000000" w:rsidR="00000000" w:rsidRPr="00000000">
        <w:rPr>
          <w:rtl w:val="0"/>
        </w:rPr>
      </w:r>
    </w:p>
    <w:p w:rsidR="00000000" w:rsidDel="00000000" w:rsidP="00000000" w:rsidRDefault="00000000" w:rsidRPr="00000000" w14:paraId="0000001C">
      <w:pPr>
        <w:spacing w:after="120" w:line="276" w:lineRule="auto"/>
        <w:rPr>
          <w:rFonts w:ascii="Times New Roman" w:cs="Times New Roman" w:eastAsia="Times New Roman" w:hAnsi="Times New Roman"/>
          <w:sz w:val="24"/>
          <w:szCs w:val="24"/>
        </w:rPr>
      </w:pPr>
      <w:r w:rsidDel="00000000" w:rsidR="00000000" w:rsidRPr="00000000">
        <w:rPr>
          <w:rtl w:val="0"/>
        </w:rPr>
        <w:t xml:space="preserve">Before considering later Christian developments or Islam’s emergence, the essay establishes the Torah–Prophets baseline and then considers late Second Temple voices that operate within it, including Jesus’ recorded public teaching as one data point while the Temple still stood.</w:t>
      </w:r>
      <w:r w:rsidDel="00000000" w:rsidR="00000000" w:rsidRPr="00000000">
        <w:rPr>
          <w:rtl w:val="0"/>
        </w:rPr>
      </w:r>
    </w:p>
    <w:p w:rsidR="00000000" w:rsidDel="00000000" w:rsidP="00000000" w:rsidRDefault="00000000" w:rsidRPr="00000000" w14:paraId="0000001D">
      <w:pPr>
        <w:pStyle w:val="Heading1"/>
        <w:spacing w:line="276" w:lineRule="auto"/>
        <w:rPr/>
      </w:pPr>
      <w:r w:rsidDel="00000000" w:rsidR="00000000" w:rsidRPr="00000000">
        <w:rPr>
          <w:rtl w:val="0"/>
        </w:rPr>
        <w:t xml:space="preserve">Baseline in the Torah and the Prophets</w:t>
      </w:r>
    </w:p>
    <w:p w:rsidR="00000000" w:rsidDel="00000000" w:rsidP="00000000" w:rsidRDefault="00000000" w:rsidRPr="00000000" w14:paraId="0000001E">
      <w:pPr>
        <w:spacing w:line="276" w:lineRule="auto"/>
        <w:rPr/>
      </w:pPr>
      <w:r w:rsidDel="00000000" w:rsidR="00000000" w:rsidRPr="00000000">
        <w:rPr>
          <w:rtl w:val="0"/>
        </w:rPr>
        <w:t xml:space="preserve">Any evaluation of post‑Temple continuity must begin with the Torah and the Prophets themselves. Across the Hebrew Bible, worship of God alone, repentance, obedience to law, and public moral guidance are treated as non‑negotiable elements of covenantal life. The prophets repeatedly critique empty ritual when it is severed from justice and obedience, yet they do so without abolishing the Law or denying the Temple’s historical centrality. This internal prophetic pattern establishes the baseline against which later Second Temple voices, and eventually post‑Temple trajectories, can be assessed.</w:t>
      </w:r>
    </w:p>
    <w:p w:rsidR="00000000" w:rsidDel="00000000" w:rsidP="00000000" w:rsidRDefault="00000000" w:rsidRPr="00000000" w14:paraId="0000001F">
      <w:pPr>
        <w:spacing w:line="276" w:lineRule="auto"/>
        <w:rPr/>
      </w:pPr>
      <w:r w:rsidDel="00000000" w:rsidR="00000000" w:rsidRPr="00000000">
        <w:rPr>
          <w:rtl w:val="0"/>
        </w:rPr>
        <w:t xml:space="preserve">For Judaism, post‑70 continuity is articulated internally through covenantal life—Torah, prayer, and study—rather than through reference to Jesus. Jesus is introduced here not as Judaism’s lens, but as a contemporaneous late Second Temple voice whose preserved teaching later continuity debates often appeal to.</w:t>
      </w:r>
    </w:p>
    <w:p w:rsidR="00000000" w:rsidDel="00000000" w:rsidP="00000000" w:rsidRDefault="00000000" w:rsidRPr="00000000" w14:paraId="00000020">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A Late Second Temple Jewish Voice</w:t>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With the Torah–Prophets baseline in place, it becomes possible to consider late Second Temple voices that operate within that field. Jesus belongs to that late Second Temple Jewish landscape, and his recorded public teaching can be read as one data point for how continuity was articulated while the Temple still stood. This does not decide later claims by itself; it simply establishes what is affirmed, denied, or left open within a Torah-shaped setting.</w:t>
      </w:r>
    </w:p>
    <w:p w:rsidR="00000000" w:rsidDel="00000000" w:rsidP="00000000" w:rsidRDefault="00000000" w:rsidRPr="00000000" w14:paraId="00000022">
      <w:pPr>
        <w:spacing w:after="120" w:line="276" w:lineRule="auto"/>
        <w:rPr>
          <w:rFonts w:ascii="Times New Roman" w:cs="Times New Roman" w:eastAsia="Times New Roman" w:hAnsi="Times New Roman"/>
          <w:sz w:val="24"/>
          <w:szCs w:val="24"/>
        </w:rPr>
      </w:pPr>
      <w:r w:rsidDel="00000000" w:rsidR="00000000" w:rsidRPr="00000000">
        <w:rPr>
          <w:rtl w:val="0"/>
        </w:rPr>
        <w:t xml:space="preserve">Any argument about later guidance can be assessed in light of a useful reference point: what Jesus is recorded as affirming while standing inside the Torah–Prophets framework recognized by his community. His preserved public teaching does not function here as Judaism’s interpretive axis for the rupture; it serves as one contemporaneous late Second Temple data point that later continuity debates often invoke.</w:t>
      </w:r>
      <w:r w:rsidDel="00000000" w:rsidR="00000000" w:rsidRPr="00000000">
        <w:rPr>
          <w:rtl w:val="0"/>
        </w:rPr>
      </w:r>
    </w:p>
    <w:p w:rsidR="00000000" w:rsidDel="00000000" w:rsidP="00000000" w:rsidRDefault="00000000" w:rsidRPr="00000000" w14:paraId="00000023">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“Do not think that I came to abolish the Law or the Prophets; I did not come to abolish but to fulfill” (Matthew 5:17, KJV)</w:t>
      </w:r>
      <w:r w:rsidDel="00000000" w:rsidR="00000000" w:rsidRPr="00000000">
        <w:rPr>
          <w:rtl w:val="0"/>
        </w:rPr>
      </w:r>
    </w:p>
    <w:p w:rsidR="00000000" w:rsidDel="00000000" w:rsidP="00000000" w:rsidRDefault="00000000" w:rsidRPr="00000000" w14:paraId="00000024">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“For truly I say to you, until heaven and earth pass away, not the smallest letter or stroke shall pass from the Law until all is accomplished” (Matthew 5:18, KJV)</w:t>
      </w: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“And thou shalt love the LORD thy God with all thy heart, and with all thy soul, and with all thy might.” (Deuteronomy 6:5, JPS 1917)</w:t>
        <w:br w:type="textWrapping"/>
        <w:t xml:space="preserve">“Thou shalt not take vengeance, nor bear any grudge against the children of thy people, but thou shalt love thy neighbour as thyself: I am the LORD.” (Leviticus 19:18, JPS 1917)</w:t>
      </w:r>
    </w:p>
    <w:p w:rsidR="00000000" w:rsidDel="00000000" w:rsidP="00000000" w:rsidRDefault="00000000" w:rsidRPr="00000000" w14:paraId="00000026">
      <w:pPr>
        <w:spacing w:line="276" w:lineRule="auto"/>
        <w:rPr/>
      </w:pPr>
      <w:r w:rsidDel="00000000" w:rsidR="00000000" w:rsidRPr="00000000">
        <w:rPr>
          <w:rtl w:val="0"/>
        </w:rPr>
        <w:t xml:space="preserve">“And the Lord said: Forasmuch as this people draw near, and with their mouth and with their lips do honour Me, but have removed their heart far from Me, and their fear of Me is a commandment of men learned by rote;” (Isaiah 29:13, JPS 1917)</w:t>
      </w:r>
    </w:p>
    <w:p w:rsidR="00000000" w:rsidDel="00000000" w:rsidP="00000000" w:rsidRDefault="00000000" w:rsidRPr="00000000" w14:paraId="00000027">
      <w:pPr>
        <w:spacing w:line="276" w:lineRule="auto"/>
        <w:rPr/>
      </w:pPr>
      <w:r w:rsidDel="00000000" w:rsidR="00000000" w:rsidRPr="00000000">
        <w:rPr>
          <w:rtl w:val="0"/>
        </w:rPr>
        <w:t xml:space="preserve">“Thou shalt fear the LORD thy God; and Him shalt thou serve, and by His name shalt thou swear.” (Deuteronomy 6:13, JPS 1917)</w:t>
      </w:r>
    </w:p>
    <w:p w:rsidR="00000000" w:rsidDel="00000000" w:rsidP="00000000" w:rsidRDefault="00000000" w:rsidRPr="00000000" w14:paraId="00000028">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“You shall have no other gods before Me” (Exodus 20:3, KJV)</w:t>
      </w:r>
      <w:r w:rsidDel="00000000" w:rsidR="00000000" w:rsidRPr="00000000">
        <w:rPr>
          <w:rtl w:val="0"/>
        </w:rPr>
      </w:r>
    </w:p>
    <w:p w:rsidR="00000000" w:rsidDel="00000000" w:rsidP="00000000" w:rsidRDefault="00000000" w:rsidRPr="00000000" w14:paraId="00000029">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“Not every one that saith unto me, Lord, Lord, shall enter into the kingdom of heaven; but he that doeth the will of my Father which is in heaven.” (Matthew 7:21, KJV)</w:t>
      </w:r>
      <w:r w:rsidDel="00000000" w:rsidR="00000000" w:rsidRPr="00000000">
        <w:rPr>
          <w:rtl w:val="0"/>
        </w:rPr>
      </w:r>
    </w:p>
    <w:p w:rsidR="00000000" w:rsidDel="00000000" w:rsidP="00000000" w:rsidRDefault="00000000" w:rsidRPr="00000000" w14:paraId="0000002A">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“Many will say to me in that day, Lord, Lord, have we not prophesied in thy name? and in thy name have cast out devils? and in thy name done many wonderful works? And then will I profess unto them, I never knew you: depart from me, ye that work iniquity.” (Matthew 7:22–23, KJV)</w:t>
      </w:r>
      <w:r w:rsidDel="00000000" w:rsidR="00000000" w:rsidRPr="00000000">
        <w:rPr>
          <w:rtl w:val="0"/>
        </w:rPr>
      </w:r>
    </w:p>
    <w:p w:rsidR="00000000" w:rsidDel="00000000" w:rsidP="00000000" w:rsidRDefault="00000000" w:rsidRPr="00000000" w14:paraId="0000002B">
      <w:pPr>
        <w:spacing w:after="120" w:line="276" w:lineRule="auto"/>
        <w:rPr>
          <w:rFonts w:ascii="Times New Roman" w:cs="Times New Roman" w:eastAsia="Times New Roman" w:hAnsi="Times New Roman"/>
          <w:sz w:val="24"/>
          <w:szCs w:val="24"/>
        </w:rPr>
      </w:pPr>
      <w:r w:rsidDel="00000000" w:rsidR="00000000" w:rsidRPr="00000000">
        <w:rPr>
          <w:rtl w:val="0"/>
        </w:rPr>
        <w:t xml:space="preserve">The warning is not just moralistic; it is about continuity with God’s commands. “Lawlessness” is treated as a disqualifier. This makes it difficult to portray Jesus as founding a religion whose hallmark is abandoning law as a category of obedience. The post-Temple rupture sharpens this point. Jesus speaks within a world where the Temple exists, yet his teaching repeatedly prepares for a faith that can survive the loss of institutional access without collapsing into spiritual despair. When he quotes Hosea:</w:t>
      </w:r>
      <w:r w:rsidDel="00000000" w:rsidR="00000000" w:rsidRPr="00000000">
        <w:rPr>
          <w:rtl w:val="0"/>
        </w:rPr>
      </w:r>
    </w:p>
    <w:p w:rsidR="00000000" w:rsidDel="00000000" w:rsidP="00000000" w:rsidRDefault="00000000" w:rsidRPr="00000000" w14:paraId="0000002C">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“For I desired mercy, and not sacrifice; and the knowledge of God more than burnt offerings.” (Hosea 6:6, KJV)</w:t>
      </w:r>
      <w:r w:rsidDel="00000000" w:rsidR="00000000" w:rsidRPr="00000000">
        <w:rPr>
          <w:rtl w:val="0"/>
        </w:rPr>
      </w:r>
    </w:p>
    <w:p w:rsidR="00000000" w:rsidDel="00000000" w:rsidP="00000000" w:rsidRDefault="00000000" w:rsidRPr="00000000" w14:paraId="0000002D">
      <w:pPr>
        <w:spacing w:after="120" w:line="276" w:lineRule="auto"/>
        <w:rPr>
          <w:rFonts w:ascii="Times New Roman" w:cs="Times New Roman" w:eastAsia="Times New Roman" w:hAnsi="Times New Roman"/>
          <w:sz w:val="24"/>
          <w:szCs w:val="24"/>
        </w:rPr>
      </w:pPr>
      <w:r w:rsidDel="00000000" w:rsidR="00000000" w:rsidRPr="00000000">
        <w:rPr>
          <w:rtl w:val="0"/>
        </w:rPr>
        <w:t xml:space="preserve">He is not repudiating the Torah’s sanctuary system as a fraud; he is restoring the prophetic hierarchy: ritual is never meant to replace</w:t>
      </w:r>
      <w:r w:rsidDel="00000000" w:rsidR="00000000" w:rsidRPr="00000000">
        <w:rPr>
          <w:rtl w:val="0"/>
        </w:rPr>
      </w:r>
    </w:p>
    <w:p w:rsidR="00000000" w:rsidDel="00000000" w:rsidP="00000000" w:rsidRDefault="00000000" w:rsidRPr="00000000" w14:paraId="0000002E">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“You will know them by their fruits” (Matthew 7:16, KJV)</w:t>
      </w:r>
      <w:r w:rsidDel="00000000" w:rsidR="00000000" w:rsidRPr="00000000">
        <w:rPr>
          <w:rtl w:val="0"/>
        </w:rPr>
      </w:r>
    </w:p>
    <w:p w:rsidR="00000000" w:rsidDel="00000000" w:rsidP="00000000" w:rsidRDefault="00000000" w:rsidRPr="00000000" w14:paraId="0000002F">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“Therefore say I unto you, The kingdom of God shall be taken from you, and given to a nation bringing forth the fruits thereof.” (Matthew 21:43, KJV)</w:t>
      </w:r>
      <w:r w:rsidDel="00000000" w:rsidR="00000000" w:rsidRPr="00000000">
        <w:rPr>
          <w:rtl w:val="0"/>
        </w:rPr>
      </w:r>
    </w:p>
    <w:p w:rsidR="00000000" w:rsidDel="00000000" w:rsidP="00000000" w:rsidRDefault="00000000" w:rsidRPr="00000000" w14:paraId="00000030">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The Moral Logic of Guidance After Rupture</w:t>
      </w:r>
      <w:r w:rsidDel="00000000" w:rsidR="00000000" w:rsidRPr="00000000">
        <w:rPr>
          <w:rtl w:val="0"/>
        </w:rPr>
      </w:r>
    </w:p>
    <w:p w:rsidR="00000000" w:rsidDel="00000000" w:rsidP="00000000" w:rsidRDefault="00000000" w:rsidRPr="00000000" w14:paraId="00000031">
      <w:pPr>
        <w:spacing w:after="120" w:line="276" w:lineRule="auto"/>
        <w:rPr>
          <w:rFonts w:ascii="Times New Roman" w:cs="Times New Roman" w:eastAsia="Times New Roman" w:hAnsi="Times New Roman"/>
          <w:sz w:val="24"/>
          <w:szCs w:val="24"/>
        </w:rPr>
      </w:pPr>
      <w:r w:rsidDel="00000000" w:rsidR="00000000" w:rsidRPr="00000000">
        <w:rPr>
          <w:rtl w:val="0"/>
        </w:rPr>
        <w:t xml:space="preserve">If the Temple’s destruction creates an observability crisis for a law-bound religion, the deeper question becomes moral and biblical: Scripture presents divine-human history as guidance-driven, including in moments when institutional mechanisms fail. Scripture repeatedly presents God’s relationship to humanity as guidance-driven. God does not just judge; He teaches, warns, and sends reminders.</w:t>
      </w:r>
      <w:r w:rsidDel="00000000" w:rsidR="00000000" w:rsidRPr="00000000">
        <w:rPr>
          <w:rtl w:val="0"/>
        </w:rPr>
      </w:r>
    </w:p>
    <w:p w:rsidR="00000000" w:rsidDel="00000000" w:rsidP="00000000" w:rsidRDefault="00000000" w:rsidRPr="00000000" w14:paraId="00000032">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“The Lord GOD does nothing unless He reveals His secret counsel to His servants the prophets” (Amos 3:7, KJV)</w:t>
      </w:r>
      <w:r w:rsidDel="00000000" w:rsidR="00000000" w:rsidRPr="00000000">
        <w:rPr>
          <w:rtl w:val="0"/>
        </w:rPr>
      </w:r>
    </w:p>
    <w:p w:rsidR="00000000" w:rsidDel="00000000" w:rsidP="00000000" w:rsidRDefault="00000000" w:rsidRPr="00000000" w14:paraId="00000033">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pattern is not that God speaks once and then leaves humanity to drift indefinitely; rather,</w:t>
      </w:r>
      <w:r w:rsidDel="00000000" w:rsidR="00000000" w:rsidRPr="00000000">
        <w:rPr>
          <w:rtl w:val="0"/>
        </w:rPr>
      </w:r>
    </w:p>
    <w:p w:rsidR="00000000" w:rsidDel="00000000" w:rsidP="00000000" w:rsidRDefault="00000000" w:rsidRPr="00000000" w14:paraId="00000034">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“God, who at sundry times and in divers manners spake in time past unto the fathers by the prophets,” (Hebrews 1:1, KJV)</w:t>
      </w:r>
      <w:r w:rsidDel="00000000" w:rsidR="00000000" w:rsidRPr="00000000">
        <w:rPr>
          <w:rtl w:val="0"/>
        </w:rPr>
      </w:r>
    </w:p>
    <w:p w:rsidR="00000000" w:rsidDel="00000000" w:rsidP="00000000" w:rsidRDefault="00000000" w:rsidRPr="00000000" w14:paraId="00000035">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“There has come to you from God a light and a clear Book” (Qur’an 5:15)</w:t>
      </w:r>
      <w:r w:rsidDel="00000000" w:rsidR="00000000" w:rsidRPr="00000000">
        <w:rPr>
          <w:rtl w:val="0"/>
        </w:rPr>
      </w:r>
    </w:p>
    <w:p w:rsidR="00000000" w:rsidDel="00000000" w:rsidP="00000000" w:rsidRDefault="00000000" w:rsidRPr="00000000" w14:paraId="00000036">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“And the LORD God of their fathers sent to them by his messengers, rising up betimes, and sending; because he had compassion on his people, and on his dwelling place:” (2 Chronicles 36:15, KJV)</w:t>
      </w:r>
      <w:r w:rsidDel="00000000" w:rsidR="00000000" w:rsidRPr="00000000">
        <w:rPr>
          <w:rtl w:val="0"/>
        </w:rPr>
      </w:r>
    </w:p>
    <w:p w:rsidR="00000000" w:rsidDel="00000000" w:rsidP="00000000" w:rsidRDefault="00000000" w:rsidRPr="00000000" w14:paraId="00000037">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“Turn to Me and be saved, all the ends of the earth” (Isaiah 45:22, KJV)</w:t>
      </w:r>
      <w:r w:rsidDel="00000000" w:rsidR="00000000" w:rsidRPr="00000000">
        <w:rPr>
          <w:rtl w:val="0"/>
        </w:rPr>
      </w:r>
    </w:p>
    <w:p w:rsidR="00000000" w:rsidDel="00000000" w:rsidP="00000000" w:rsidRDefault="00000000" w:rsidRPr="00000000" w14:paraId="00000038">
      <w:pPr>
        <w:spacing w:after="120" w:line="276" w:lineRule="auto"/>
        <w:rPr>
          <w:rFonts w:ascii="Times New Roman" w:cs="Times New Roman" w:eastAsia="Times New Roman" w:hAnsi="Times New Roman"/>
          <w:sz w:val="24"/>
          <w:szCs w:val="24"/>
        </w:rPr>
      </w:pPr>
      <w:r w:rsidDel="00000000" w:rsidR="00000000" w:rsidRPr="00000000">
        <w:rPr>
          <w:rtl w:val="0"/>
        </w:rPr>
        <w:t xml:space="preserve">If that is the scriptural moral logic of God—compassionate guidance rather than abandonment—then a post-Temple world raises the expectation that guidance remains available in a practicable form, especially for the nations, when the older institutional mechanism becomes historically inaccessible. This establishes the conceptual plausibility of further guidance as a continuation of the prophetic pattern.</w:t>
      </w:r>
      <w:r w:rsidDel="00000000" w:rsidR="00000000" w:rsidRPr="00000000">
        <w:rPr>
          <w:rtl w:val="0"/>
        </w:rPr>
      </w:r>
    </w:p>
    <w:p w:rsidR="00000000" w:rsidDel="00000000" w:rsidP="00000000" w:rsidRDefault="00000000" w:rsidRPr="00000000" w14:paraId="00000039">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A Biblical Category for Continued Guidance</w:t>
      </w:r>
      <w:r w:rsidDel="00000000" w:rsidR="00000000" w:rsidRPr="00000000">
        <w:rPr>
          <w:rtl w:val="0"/>
        </w:rPr>
      </w:r>
    </w:p>
    <w:p w:rsidR="00000000" w:rsidDel="00000000" w:rsidP="00000000" w:rsidRDefault="00000000" w:rsidRPr="00000000" w14:paraId="0000003A">
      <w:pPr>
        <w:spacing w:after="120" w:line="276" w:lineRule="auto"/>
        <w:rPr>
          <w:rFonts w:ascii="Times New Roman" w:cs="Times New Roman" w:eastAsia="Times New Roman" w:hAnsi="Times New Roman"/>
          <w:sz w:val="24"/>
          <w:szCs w:val="24"/>
        </w:rPr>
      </w:pPr>
      <w:r w:rsidDel="00000000" w:rsidR="00000000" w:rsidRPr="00000000">
        <w:rPr>
          <w:rtl w:val="0"/>
        </w:rPr>
        <w:t xml:space="preserve">Taking the Temple rupture seriously raises a straightforward question: whether Scripture allows for continued guidance in a form that remains practicable when older institutional mechanisms collapse. The prophets repeatedly portray God’s dealings with humanity as guidance rather than abandonment:</w:t>
      </w:r>
      <w:r w:rsidDel="00000000" w:rsidR="00000000" w:rsidRPr="00000000">
        <w:rPr>
          <w:rtl w:val="0"/>
        </w:rPr>
      </w:r>
    </w:p>
    <w:p w:rsidR="00000000" w:rsidDel="00000000" w:rsidP="00000000" w:rsidRDefault="00000000" w:rsidRPr="00000000" w14:paraId="0000003B">
      <w:pPr>
        <w:spacing w:after="120" w:line="276" w:lineRule="auto"/>
        <w:rPr>
          <w:rFonts w:ascii="Times New Roman" w:cs="Times New Roman" w:eastAsia="Times New Roman" w:hAnsi="Times New Roman"/>
          <w:sz w:val="24"/>
          <w:szCs w:val="24"/>
        </w:rPr>
      </w:pPr>
      <w:r w:rsidDel="00000000" w:rsidR="00000000" w:rsidRPr="00000000">
        <w:rPr>
          <w:rtl w:val="0"/>
        </w:rPr>
        <w:t xml:space="preserve">And they assume intelligible disclosure—</w:t>
      </w:r>
      <w:r w:rsidDel="00000000" w:rsidR="00000000" w:rsidRPr="00000000">
        <w:rPr>
          <w:rtl w:val="0"/>
        </w:rPr>
      </w:r>
    </w:p>
    <w:p w:rsidR="00000000" w:rsidDel="00000000" w:rsidP="00000000" w:rsidRDefault="00000000" w:rsidRPr="00000000" w14:paraId="0000003C">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“Surely the Lord GOD does nothing unless He reveals His secret to His servants the prophets” (Amos 3:7, KJV)</w:t>
      </w:r>
      <w:r w:rsidDel="00000000" w:rsidR="00000000" w:rsidRPr="00000000">
        <w:rPr>
          <w:rtl w:val="0"/>
        </w:rPr>
      </w:r>
    </w:p>
    <w:p w:rsidR="00000000" w:rsidDel="00000000" w:rsidP="00000000" w:rsidRDefault="00000000" w:rsidRPr="00000000" w14:paraId="0000003D">
      <w:pPr>
        <w:spacing w:after="120" w:line="276" w:lineRule="auto"/>
        <w:rPr>
          <w:rFonts w:ascii="Times New Roman" w:cs="Times New Roman" w:eastAsia="Times New Roman" w:hAnsi="Times New Roman"/>
          <w:sz w:val="24"/>
          <w:szCs w:val="24"/>
        </w:rPr>
      </w:pPr>
      <w:r w:rsidDel="00000000" w:rsidR="00000000" w:rsidRPr="00000000">
        <w:rPr>
          <w:rtl w:val="0"/>
        </w:rPr>
        <w:t xml:space="preserve">The moral logic of prophecy, then, is not “God spoke once and then withdrew,” but that God calls, warns, corrects, and restores. Within that pattern, several themes converge into a recognizable silhouette of what continued guidance could look like, especially on a widened horizon beyond one people. No single passage is asked to carry the whole argument. What matters is cumulative: one beam establishes a nations horizon; another defines the form of prophetic authority; another supplies a grammar of transfer and continuity under disruption. Together they make the category of further guidance intelligible before any later claimant is introduced.</w:t>
      </w:r>
      <w:r w:rsidDel="00000000" w:rsidR="00000000" w:rsidRPr="00000000">
        <w:rPr>
          <w:rtl w:val="0"/>
        </w:rPr>
      </w:r>
    </w:p>
    <w:p w:rsidR="00000000" w:rsidDel="00000000" w:rsidP="00000000" w:rsidRDefault="00000000" w:rsidRPr="00000000" w14:paraId="0000003E">
      <w:pPr>
        <w:spacing w:after="120" w:line="276" w:lineRule="auto"/>
        <w:rPr>
          <w:rFonts w:ascii="Times New Roman" w:cs="Times New Roman" w:eastAsia="Times New Roman" w:hAnsi="Times New Roman"/>
          <w:sz w:val="24"/>
          <w:szCs w:val="24"/>
        </w:rPr>
      </w:pPr>
      <w:r w:rsidDel="00000000" w:rsidR="00000000" w:rsidRPr="00000000">
        <w:rPr>
          <w:rtl w:val="0"/>
        </w:rPr>
        <w:t xml:space="preserve">The nations horizon is explicit in the prophetic corpus. Isaiah repeatedly speaks of a widened scope in which God’s purpose is not sealed within Israel alone:</w:t>
      </w:r>
      <w:r w:rsidDel="00000000" w:rsidR="00000000" w:rsidRPr="00000000">
        <w:rPr>
          <w:rtl w:val="0"/>
        </w:rPr>
      </w:r>
    </w:p>
    <w:p w:rsidR="00000000" w:rsidDel="00000000" w:rsidP="00000000" w:rsidRDefault="00000000" w:rsidRPr="00000000" w14:paraId="0000003F">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“And he said, It is a light thing that thou shouldest be my servant to raise up the tribes of Jacob, and to restore the preserved of Israel: I will also give thee for a light to the Gentiles, that thou mayest be my salvation unto the end of the earth.” (Isaiah 49:6, KJV)</w:t>
      </w:r>
      <w:r w:rsidDel="00000000" w:rsidR="00000000" w:rsidRPr="00000000">
        <w:rPr>
          <w:rtl w:val="0"/>
        </w:rPr>
      </w:r>
    </w:p>
    <w:p w:rsidR="00000000" w:rsidDel="00000000" w:rsidP="00000000" w:rsidRDefault="00000000" w:rsidRPr="00000000" w14:paraId="00000040">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“Turn to Me and be saved, all the ends of the earth; for I am God, and there is no other” (Isaiah 45:22, KJV)</w:t>
      </w:r>
      <w:r w:rsidDel="00000000" w:rsidR="00000000" w:rsidRPr="00000000">
        <w:rPr>
          <w:rtl w:val="0"/>
        </w:rPr>
      </w:r>
    </w:p>
    <w:p w:rsidR="00000000" w:rsidDel="00000000" w:rsidP="00000000" w:rsidRDefault="00000000" w:rsidRPr="00000000" w14:paraId="00000041">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prophetic corpus contains a nations-facing trajectory in which worship of the one God becomes publicly established beyond one ethnicity.</w:t>
      </w:r>
      <w:r w:rsidDel="00000000" w:rsidR="00000000" w:rsidRPr="00000000">
        <w:rPr>
          <w:rtl w:val="0"/>
        </w:rPr>
      </w:r>
    </w:p>
    <w:p w:rsidR="00000000" w:rsidDel="00000000" w:rsidP="00000000" w:rsidRDefault="00000000" w:rsidRPr="00000000" w14:paraId="00000042">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“They shall be turned back, they shall be greatly ashamed, that trust in graven images, that say to the molten images, Ye are our gods.” (Isaiah 42:17, KJV)</w:t>
      </w:r>
      <w:r w:rsidDel="00000000" w:rsidR="00000000" w:rsidRPr="00000000">
        <w:rPr>
          <w:rtl w:val="0"/>
        </w:rPr>
      </w:r>
    </w:p>
    <w:p w:rsidR="00000000" w:rsidDel="00000000" w:rsidP="00000000" w:rsidRDefault="00000000" w:rsidRPr="00000000" w14:paraId="00000043">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 will raise them up a Prophet from among their brethren, like unto thee, and will put my words in his mouth; and he shall speak unto them all that I shall command him.” (Deuteronomy 18:18, KJV)</w:t>
      </w:r>
      <w:r w:rsidDel="00000000" w:rsidR="00000000" w:rsidRPr="00000000">
        <w:rPr>
          <w:rtl w:val="0"/>
        </w:rPr>
      </w:r>
    </w:p>
    <w:p w:rsidR="00000000" w:rsidDel="00000000" w:rsidP="00000000" w:rsidRDefault="00000000" w:rsidRPr="00000000" w14:paraId="00000044">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is not simply “a good teacher.” It is binding instruction delivered as God’s words. In a post-Temple world, that distinction matters: a portable, law-bearing religion for the nations requires stable authority and stable practice. A restoration claim would therefore be expected to present itself in a conveyed-speech mode rather than as an after-the-fact reconstruction dependent on private interpretive correspondence. Isaiah 29 can be read as supportive texture without gimmick. Isaiah describes “the words of a book” being delivered (KJV)</w:t>
      </w:r>
      <w:r w:rsidDel="00000000" w:rsidR="00000000" w:rsidRPr="00000000">
        <w:rPr>
          <w:rtl w:val="0"/>
        </w:rPr>
      </w:r>
    </w:p>
    <w:p w:rsidR="00000000" w:rsidDel="00000000" w:rsidP="00000000" w:rsidRDefault="00000000" w:rsidRPr="00000000" w14:paraId="00000045">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“to one who is not learned, saying, ‘Read this, please,’ and he says, ‘I am not learned’” (Isaiah 29:12, KJV)</w:t>
      </w:r>
      <w:r w:rsidDel="00000000" w:rsidR="00000000" w:rsidRPr="00000000">
        <w:rPr>
          <w:rtl w:val="0"/>
        </w:rPr>
      </w:r>
    </w:p>
    <w:p w:rsidR="00000000" w:rsidDel="00000000" w:rsidP="00000000" w:rsidRDefault="00000000" w:rsidRPr="00000000" w14:paraId="00000046">
      <w:pPr>
        <w:spacing w:after="120" w:line="276" w:lineRule="auto"/>
        <w:rPr>
          <w:rFonts w:ascii="Times New Roman" w:cs="Times New Roman" w:eastAsia="Times New Roman" w:hAnsi="Times New Roman"/>
          <w:sz w:val="24"/>
          <w:szCs w:val="24"/>
        </w:rPr>
      </w:pPr>
      <w:r w:rsidDel="00000000" w:rsidR="00000000" w:rsidRPr="00000000">
        <w:rPr>
          <w:rtl w:val="0"/>
        </w:rPr>
        <w:t xml:space="preserve">What matters is modest but relevant: Scripture does not require God’s messenger to be a credentialed literary architect; it depicts revealed words reaching one who is not “learned” in the conventional sense. That becomes pertinent when evaluating later claimants who present themselves as reciters and proclaimers rather than as authors constructing a theological system. A third beam comes from Daniel, which supplies a grammar for continuity and transfer under disruption. Daniel’s visions are not only about empires; they make the post-Temple world conceptually legible inside Scripture. Daniel 2 portrays a succession of kingdoms and then a dominion not dependent on the permanence of prior empires—an enduring establishment that stands over the collapse of earlier dominions (Daniel 2:34–35, 44, KJV). Daniel 7 formalizes transfer language: dominion is given and removed; authority changes hands; and the “kingdom and the dominion” are ultimately</w:t>
      </w:r>
      <w:r w:rsidDel="00000000" w:rsidR="00000000" w:rsidRPr="00000000">
        <w:rPr>
          <w:rtl w:val="0"/>
        </w:rPr>
      </w:r>
    </w:p>
    <w:p w:rsidR="00000000" w:rsidDel="00000000" w:rsidP="00000000" w:rsidRDefault="00000000" w:rsidRPr="00000000" w14:paraId="00000047">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“given” (Daniel 7:14, 27, KJV)</w:t>
      </w:r>
      <w:r w:rsidDel="00000000" w:rsidR="00000000" w:rsidRPr="00000000">
        <w:rPr>
          <w:rtl w:val="0"/>
        </w:rPr>
      </w:r>
    </w:p>
    <w:p w:rsidR="00000000" w:rsidDel="00000000" w:rsidP="00000000" w:rsidRDefault="00000000" w:rsidRPr="00000000" w14:paraId="00000048">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A Prophet Like Moses and Public Revelation</w:t>
      </w:r>
      <w:r w:rsidDel="00000000" w:rsidR="00000000" w:rsidRPr="00000000">
        <w:rPr>
          <w:rtl w:val="0"/>
        </w:rPr>
      </w:r>
    </w:p>
    <w:p w:rsidR="00000000" w:rsidDel="00000000" w:rsidP="00000000" w:rsidRDefault="00000000" w:rsidRPr="00000000" w14:paraId="00000049">
      <w:pPr>
        <w:spacing w:after="120" w:line="276" w:lineRule="auto"/>
        <w:rPr>
          <w:rFonts w:ascii="Times New Roman" w:cs="Times New Roman" w:eastAsia="Times New Roman" w:hAnsi="Times New Roman"/>
          <w:sz w:val="24"/>
          <w:szCs w:val="24"/>
        </w:rPr>
      </w:pPr>
      <w:r w:rsidDel="00000000" w:rsidR="00000000" w:rsidRPr="00000000">
        <w:rPr>
          <w:rtl w:val="0"/>
        </w:rPr>
        <w:t xml:space="preserve">Before the essay asks whether any later claimant fits the post-Temple silhouette, it must clarify what kind of guidance Scripture itself anticipates. This is where the “prophet like Moses” profile matters, not as a slogan but as a category. Moses is not just an inspired moral teacher. Moses is the paradigmatic messenger of conveyed speech whose proclamation forms a law-bearing worshiping community. The covenant is not an abstraction; it becomes a public order because Moses delivers binding instruction. Deuteronomy describes this pattern explicitly:</w:t>
      </w:r>
      <w:r w:rsidDel="00000000" w:rsidR="00000000" w:rsidRPr="00000000">
        <w:rPr>
          <w:rtl w:val="0"/>
        </w:rPr>
      </w:r>
    </w:p>
    <w:p w:rsidR="00000000" w:rsidDel="00000000" w:rsidP="00000000" w:rsidRDefault="00000000" w:rsidRPr="00000000" w14:paraId="0000004A">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“The LORD your God will raise up for you a prophet like me from among you, from your brothers—you shall listen to him” (Deuteronomy 18:15, KJV)</w:t>
      </w:r>
      <w:r w:rsidDel="00000000" w:rsidR="00000000" w:rsidRPr="00000000">
        <w:rPr>
          <w:rtl w:val="0"/>
        </w:rPr>
      </w:r>
    </w:p>
    <w:p w:rsidR="00000000" w:rsidDel="00000000" w:rsidP="00000000" w:rsidRDefault="00000000" w:rsidRPr="00000000" w14:paraId="0000004B">
      <w:pPr>
        <w:spacing w:after="120" w:line="276" w:lineRule="auto"/>
        <w:rPr>
          <w:rFonts w:ascii="Times New Roman" w:cs="Times New Roman" w:eastAsia="Times New Roman" w:hAnsi="Times New Roman"/>
          <w:sz w:val="24"/>
          <w:szCs w:val="24"/>
        </w:rPr>
      </w:pPr>
      <w:r w:rsidDel="00000000" w:rsidR="00000000" w:rsidRPr="00000000">
        <w:rPr>
          <w:rtl w:val="0"/>
        </w:rPr>
        <w:t xml:space="preserve">The text then explains what “like Moses” entails: “I will raise them up a Prophet from among their brethren, like unto thee, and will put my words in his mouth; and he shall speak unto them all that I shall command him.” (Deuteronomy 18:18, KJV)</w:t>
      </w:r>
      <w:r w:rsidDel="00000000" w:rsidR="00000000" w:rsidRPr="00000000">
        <w:rPr>
          <w:rtl w:val="0"/>
        </w:rPr>
      </w:r>
    </w:p>
    <w:p w:rsidR="00000000" w:rsidDel="00000000" w:rsidP="00000000" w:rsidRDefault="00000000" w:rsidRPr="00000000" w14:paraId="0000004C">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“Recite in the name of your Lord who created.” (Qur’an 96:1, Sahih International)</w:t>
      </w:r>
      <w:r w:rsidDel="00000000" w:rsidR="00000000" w:rsidRPr="00000000">
        <w:rPr>
          <w:rtl w:val="0"/>
        </w:rPr>
      </w:r>
    </w:p>
    <w:p w:rsidR="00000000" w:rsidDel="00000000" w:rsidP="00000000" w:rsidRDefault="00000000" w:rsidRPr="00000000" w14:paraId="0000004D">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“Nor does he speak from [his own] inclination. It is not but a revelation revealed.” (Qur’an 53:3–4, Sahih International)</w:t>
      </w:r>
      <w:r w:rsidDel="00000000" w:rsidR="00000000" w:rsidRPr="00000000">
        <w:rPr>
          <w:rtl w:val="0"/>
        </w:rPr>
      </w:r>
    </w:p>
    <w:p w:rsidR="00000000" w:rsidDel="00000000" w:rsidP="00000000" w:rsidRDefault="00000000" w:rsidRPr="00000000" w14:paraId="0000004E">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the logic of Deuteronomy’s category, the evaluation is not whether a text resembles a modern book, but whether it presents itself as words placed into a mouth and delivered as binding guidance. That is the Mosaic-prophetic form.</w:t>
      </w:r>
      <w:r w:rsidDel="00000000" w:rsidR="00000000" w:rsidRPr="00000000">
        <w:rPr>
          <w:rtl w:val="0"/>
        </w:rPr>
      </w:r>
    </w:p>
    <w:p w:rsidR="00000000" w:rsidDel="00000000" w:rsidP="00000000" w:rsidRDefault="00000000" w:rsidRPr="00000000" w14:paraId="0000004F">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“Then the book will be given to the one who is not literate, saying, ‘Please read this.’ And he will say, ‘I am not literate’” (Isaiah 29:12, KJV)</w:t>
      </w:r>
      <w:r w:rsidDel="00000000" w:rsidR="00000000" w:rsidRPr="00000000">
        <w:rPr>
          <w:rtl w:val="0"/>
        </w:rPr>
      </w:r>
    </w:p>
    <w:p w:rsidR="00000000" w:rsidDel="00000000" w:rsidP="00000000" w:rsidRDefault="00000000" w:rsidRPr="00000000" w14:paraId="00000050">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point is categorical: Scripture contains scenes in which revelation is conveyed to someone outside conventional scholarly authority. In the biblical imagination, prophetic authority rests on God’s act of revelation rather than institutional credentialing.</w:t>
      </w:r>
      <w:r w:rsidDel="00000000" w:rsidR="00000000" w:rsidRPr="00000000">
        <w:rPr>
          <w:rtl w:val="0"/>
        </w:rPr>
      </w:r>
    </w:p>
    <w:p w:rsidR="00000000" w:rsidDel="00000000" w:rsidP="00000000" w:rsidRDefault="00000000" w:rsidRPr="00000000" w14:paraId="00000051">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“Worship the Lord your God, and serve Him only” (Matthew 4:10, KJV)</w:t>
      </w:r>
      <w:r w:rsidDel="00000000" w:rsidR="00000000" w:rsidRPr="00000000">
        <w:rPr>
          <w:rtl w:val="0"/>
        </w:rPr>
      </w:r>
    </w:p>
    <w:p w:rsidR="00000000" w:rsidDel="00000000" w:rsidP="00000000" w:rsidRDefault="00000000" w:rsidRPr="00000000" w14:paraId="00000052">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“And then will I profess unto them, I never knew you: depart from me, ye that work iniquity.” (Matthew 7:23, KJV)</w:t>
      </w:r>
      <w:r w:rsidDel="00000000" w:rsidR="00000000" w:rsidRPr="00000000">
        <w:rPr>
          <w:rtl w:val="0"/>
        </w:rPr>
      </w:r>
    </w:p>
    <w:p w:rsidR="00000000" w:rsidDel="00000000" w:rsidP="00000000" w:rsidRDefault="00000000" w:rsidRPr="00000000" w14:paraId="00000053">
      <w:pPr>
        <w:spacing w:after="120" w:line="276" w:lineRule="auto"/>
        <w:rPr>
          <w:rFonts w:ascii="Times New Roman" w:cs="Times New Roman" w:eastAsia="Times New Roman" w:hAnsi="Times New Roman"/>
          <w:sz w:val="24"/>
          <w:szCs w:val="24"/>
        </w:rPr>
      </w:pPr>
      <w:r w:rsidDel="00000000" w:rsidR="00000000" w:rsidRPr="00000000">
        <w:rPr>
          <w:rtl w:val="0"/>
        </w:rPr>
        <w:t xml:space="preserve">Therefore, a later claimant that presents itself in the prophetic form (conveyed words; binding guidance) must be evaluated not by whether it flatters an institutional status quo,</w:t>
      </w:r>
      <w:r w:rsidDel="00000000" w:rsidR="00000000" w:rsidRPr="00000000">
        <w:rPr>
          <w:rtl w:val="0"/>
        </w:rPr>
      </w:r>
    </w:p>
    <w:p w:rsidR="00000000" w:rsidDel="00000000" w:rsidP="00000000" w:rsidRDefault="00000000" w:rsidRPr="00000000" w14:paraId="00000054">
      <w:pPr>
        <w:spacing w:after="120" w:line="276" w:lineRule="auto"/>
        <w:rPr>
          <w:rFonts w:ascii="Times New Roman" w:cs="Times New Roman" w:eastAsia="Times New Roman" w:hAnsi="Times New Roman"/>
          <w:sz w:val="24"/>
          <w:szCs w:val="24"/>
        </w:rPr>
      </w:pPr>
      <w:r w:rsidDel="00000000" w:rsidR="00000000" w:rsidRPr="00000000">
        <w:rPr>
          <w:rtl w:val="0"/>
        </w:rPr>
        <w:t xml:space="preserve">Given this, a reader can reasonably ask whether the Bible itself contains any room for later, law-bearing guidance after disruption. Daniel is used here not as a codebook for modern date-setting, but because it speaks in categories of history, transfer, and horizons. It gives a way to discuss continuity after rupture without pretending the rupture never happened.</w:t>
      </w:r>
      <w:r w:rsidDel="00000000" w:rsidR="00000000" w:rsidRPr="00000000">
        <w:rPr>
          <w:rtl w:val="0"/>
        </w:rPr>
      </w:r>
    </w:p>
    <w:p w:rsidR="00000000" w:rsidDel="00000000" w:rsidP="00000000" w:rsidRDefault="00000000" w:rsidRPr="00000000" w14:paraId="00000055">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Daniel and the Timing of Continuity</w:t>
      </w:r>
      <w:r w:rsidDel="00000000" w:rsidR="00000000" w:rsidRPr="00000000">
        <w:rPr>
          <w:rtl w:val="0"/>
        </w:rPr>
      </w:r>
    </w:p>
    <w:p w:rsidR="00000000" w:rsidDel="00000000" w:rsidP="00000000" w:rsidRDefault="00000000" w:rsidRPr="00000000" w14:paraId="00000056">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“And in the days of these kings shall the God of heaven set up a kingdom, which shall never be destroyed: and the kingdom shall not be left to other people, but it shall break in pieces and consume all these kingdoms, and it shall stand for ever.” (Daniel 2:44, KJV)</w:t>
      </w:r>
      <w:r w:rsidDel="00000000" w:rsidR="00000000" w:rsidRPr="00000000">
        <w:rPr>
          <w:rtl w:val="0"/>
        </w:rPr>
      </w:r>
    </w:p>
    <w:p w:rsidR="00000000" w:rsidDel="00000000" w:rsidP="00000000" w:rsidRDefault="00000000" w:rsidRPr="00000000" w14:paraId="00000057">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“To him was given dominion and glory and a kingdom, that all peoples, nations, and languages should serve him; his dominion is an everlasting dominion” (Daniel 7:14, KJV)</w:t>
      </w:r>
      <w:r w:rsidDel="00000000" w:rsidR="00000000" w:rsidRPr="00000000">
        <w:rPr>
          <w:rtl w:val="0"/>
        </w:rPr>
      </w:r>
    </w:p>
    <w:p w:rsidR="00000000" w:rsidDel="00000000" w:rsidP="00000000" w:rsidRDefault="00000000" w:rsidRPr="00000000" w14:paraId="00000058">
      <w:pPr>
        <w:spacing w:after="120" w:line="276" w:lineRule="auto"/>
        <w:rPr>
          <w:rFonts w:ascii="Times New Roman" w:cs="Times New Roman" w:eastAsia="Times New Roman" w:hAnsi="Times New Roman"/>
          <w:sz w:val="24"/>
          <w:szCs w:val="24"/>
        </w:rPr>
      </w:pPr>
      <w:r w:rsidDel="00000000" w:rsidR="00000000" w:rsidRPr="00000000">
        <w:rPr>
          <w:rtl w:val="0"/>
        </w:rPr>
        <w:t xml:space="preserve">Later, Daniel 7 describes a climactic reversal in which dominion is transferred to “the saints of the Most High.” The language is again about gifting and assignment rather than human construction: “And the kingdom and dominion, and the greatness of the kingdom under the whole heaven, shall be given to the people of the saints of the most High, whose kingdom is an everlasting kingdom, and all dominions shall serve and obey him.” (Daniel 7:27, KJV)</w:t>
      </w:r>
      <w:r w:rsidDel="00000000" w:rsidR="00000000" w:rsidRPr="00000000">
        <w:rPr>
          <w:rtl w:val="0"/>
        </w:rPr>
      </w:r>
    </w:p>
    <w:p w:rsidR="00000000" w:rsidDel="00000000" w:rsidP="00000000" w:rsidRDefault="00000000" w:rsidRPr="00000000" w14:paraId="00000059">
      <w:pPr>
        <w:spacing w:after="120" w:line="276" w:lineRule="auto"/>
        <w:rPr>
          <w:rFonts w:ascii="Times New Roman" w:cs="Times New Roman" w:eastAsia="Times New Roman" w:hAnsi="Times New Roman"/>
          <w:sz w:val="24"/>
          <w:szCs w:val="24"/>
        </w:rPr>
      </w:pPr>
      <w:r w:rsidDel="00000000" w:rsidR="00000000" w:rsidRPr="00000000">
        <w:rPr>
          <w:rtl w:val="0"/>
        </w:rPr>
        <w:t xml:space="preserve">Daniel later uses the same transfer language explicitly, describing dominion as something “given” and ultimately assigned under divine sovereignty (Daniel 7:27, KJV).</w:t>
      </w:r>
      <w:r w:rsidDel="00000000" w:rsidR="00000000" w:rsidRPr="00000000">
        <w:rPr>
          <w:rtl w:val="0"/>
        </w:rPr>
      </w:r>
    </w:p>
    <w:p w:rsidR="00000000" w:rsidDel="00000000" w:rsidP="00000000" w:rsidRDefault="00000000" w:rsidRPr="00000000" w14:paraId="0000005A">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“He shall make sacrifice and offering cease” (Daniel 9:27, KJV)</w:t>
      </w:r>
      <w:r w:rsidDel="00000000" w:rsidR="00000000" w:rsidRPr="00000000">
        <w:rPr>
          <w:rtl w:val="0"/>
        </w:rPr>
      </w:r>
    </w:p>
    <w:p w:rsidR="00000000" w:rsidDel="00000000" w:rsidP="00000000" w:rsidRDefault="00000000" w:rsidRPr="00000000" w14:paraId="0000005B">
      <w:pPr>
        <w:spacing w:after="120" w:line="276" w:lineRule="auto"/>
        <w:rPr>
          <w:rFonts w:ascii="Times New Roman" w:cs="Times New Roman" w:eastAsia="Times New Roman" w:hAnsi="Times New Roman"/>
          <w:sz w:val="24"/>
          <w:szCs w:val="24"/>
        </w:rPr>
      </w:pPr>
      <w:r w:rsidDel="00000000" w:rsidR="00000000" w:rsidRPr="00000000">
        <w:rPr>
          <w:rtl w:val="0"/>
        </w:rPr>
        <w:t xml:space="preserve">textual crisis using Scripture’s own categories: guidance, obedience, exclusive worship, transfer by fruit, and continuity through disruption.</w:t>
      </w:r>
      <w:r w:rsidDel="00000000" w:rsidR="00000000" w:rsidRPr="00000000">
        <w:rPr>
          <w:rtl w:val="0"/>
        </w:rPr>
      </w:r>
    </w:p>
    <w:p w:rsidR="00000000" w:rsidDel="00000000" w:rsidP="00000000" w:rsidRDefault="00000000" w:rsidRPr="00000000" w14:paraId="0000005C">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post-Temple question is not only “Judaism versus Christianity versus Islam.” It also appears within the earliest Jesus movement itself. The New Testament preserves evidence that the first generations of believers were not monolithic on the issues most relevant here: the Law, Gentile inclusion, covenant identity, and what continuity with Israel’s Scriptures requires. The record treats these as decisive questions, not settled afterthoughts. Acts describes a major dispute over whether Gentile believers typically be circumcised and required to keep the Law (Acts 15:1–2, KJV). Paul’s letters reflect the same conflict in sharper terms, especially in Galatians. This diversity matters for method. It prevents anachronism. It shows that “what Jesus intended” was not automatically obvious to all early Christians, and that competing continuity models were argued over in the earliest period. In that setting—expanding into the Gentile world while approaching the catastrophe that would soon erase the Temple’s operability—it is not surprising that different post-Temple engines could emerge. This is why Jesus’ preserved teaching is treated here as a useful reference point rather than assuming later doctrinal settlements automatically mirror his intent. Jesus publicly affirms the Law (Matthew 5:17–18, KJV), and he treats lawlessness and empty religiosity as disqualifying (Matthew 7:21–23, KJV).</w:t>
      </w:r>
      <w:r w:rsidDel="00000000" w:rsidR="00000000" w:rsidRPr="00000000">
        <w:rPr>
          <w:rtl w:val="0"/>
        </w:rPr>
      </w:r>
    </w:p>
    <w:p w:rsidR="00000000" w:rsidDel="00000000" w:rsidP="00000000" w:rsidRDefault="00000000" w:rsidRPr="00000000" w14:paraId="0000005D">
      <w:pPr>
        <w:spacing w:after="120" w:line="276" w:lineRule="auto"/>
        <w:rPr>
          <w:rFonts w:ascii="Times New Roman" w:cs="Times New Roman" w:eastAsia="Times New Roman" w:hAnsi="Times New Roman"/>
          <w:sz w:val="24"/>
          <w:szCs w:val="24"/>
        </w:rPr>
      </w:pPr>
      <w:r w:rsidDel="00000000" w:rsidR="00000000" w:rsidRPr="00000000">
        <w:rPr>
          <w:rtl w:val="0"/>
        </w:rPr>
        <w:t xml:space="preserve">These statements do not settle every later debate, but they establish a posture: seriousness about obedience and suspicion toward religious claims that loosen covenantal life into mere identity labels. That posture leads naturally into the biblical criteria for evaluating later claimants. Scripture does not treat authority as immune from testing; it provides tests.</w:t>
      </w:r>
      <w:r w:rsidDel="00000000" w:rsidR="00000000" w:rsidRPr="00000000">
        <w:rPr>
          <w:rtl w:val="0"/>
        </w:rPr>
      </w:r>
    </w:p>
    <w:p w:rsidR="00000000" w:rsidDel="00000000" w:rsidP="00000000" w:rsidRDefault="00000000" w:rsidRPr="00000000" w14:paraId="0000005E">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Daniel Revisited: Time and Transfer</w:t>
      </w:r>
      <w:r w:rsidDel="00000000" w:rsidR="00000000" w:rsidRPr="00000000">
        <w:rPr>
          <w:rtl w:val="0"/>
        </w:rPr>
      </w:r>
    </w:p>
    <w:p w:rsidR="00000000" w:rsidDel="00000000" w:rsidP="00000000" w:rsidRDefault="00000000" w:rsidRPr="00000000" w14:paraId="0000005F">
      <w:pPr>
        <w:spacing w:after="120" w:line="276" w:lineRule="auto"/>
        <w:rPr>
          <w:rFonts w:ascii="Times New Roman" w:cs="Times New Roman" w:eastAsia="Times New Roman" w:hAnsi="Times New Roman"/>
          <w:sz w:val="24"/>
          <w:szCs w:val="24"/>
        </w:rPr>
      </w:pPr>
      <w:r w:rsidDel="00000000" w:rsidR="00000000" w:rsidRPr="00000000">
        <w:rPr>
          <w:rtl w:val="0"/>
        </w:rPr>
        <w:t xml:space="preserve">When Daniel is read alongside Isaiah and the post-Temple rupture, its force is not exhausted by abstract symbolism. Daniel supplies something Isaiah does not emphasize as directly: time-bound transition. Not just that stewardship will shift, but that history itself will move toward a point where older covenant mechanisms become untenable and something enduring replaces them. Daniel 2 establishes the basic grammar. Successive kingdoms rise and fall until a final intervention interrupts the entire sequence: “a stone cut out without hands” strikes the statue, shattering the composite structure, after which “no trace of them was found” and the stone becomes (KJV)</w:t>
      </w:r>
      <w:r w:rsidDel="00000000" w:rsidR="00000000" w:rsidRPr="00000000">
        <w:rPr>
          <w:rtl w:val="0"/>
        </w:rPr>
      </w:r>
    </w:p>
    <w:p w:rsidR="00000000" w:rsidDel="00000000" w:rsidP="00000000" w:rsidRDefault="00000000" w:rsidRPr="00000000" w14:paraId="00000060">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 great mountain and filled the whole earth” (Daniel 2:34–35, KJV)</w:t>
      </w:r>
      <w:r w:rsidDel="00000000" w:rsidR="00000000" w:rsidRPr="00000000">
        <w:rPr>
          <w:rtl w:val="0"/>
        </w:rPr>
      </w:r>
    </w:p>
    <w:p w:rsidR="00000000" w:rsidDel="00000000" w:rsidP="00000000" w:rsidRDefault="00000000" w:rsidRPr="00000000" w14:paraId="00000061">
      <w:pPr>
        <w:spacing w:after="120" w:line="276" w:lineRule="auto"/>
        <w:rPr>
          <w:rFonts w:ascii="Times New Roman" w:cs="Times New Roman" w:eastAsia="Times New Roman" w:hAnsi="Times New Roman"/>
          <w:sz w:val="24"/>
          <w:szCs w:val="24"/>
        </w:rPr>
      </w:pPr>
      <w:r w:rsidDel="00000000" w:rsidR="00000000" w:rsidRPr="00000000">
        <w:rPr>
          <w:rtl w:val="0"/>
        </w:rPr>
        <w:t xml:space="preserve">The emphasis is not reform from within, but replacement by divine initiative. The kingdom God establishes does not coexist indefinitely with the previous order; it supersedes it and endures.</w:t>
      </w:r>
      <w:r w:rsidDel="00000000" w:rsidR="00000000" w:rsidRPr="00000000">
        <w:rPr>
          <w:rtl w:val="0"/>
        </w:rPr>
      </w:r>
    </w:p>
    <w:p w:rsidR="00000000" w:rsidDel="00000000" w:rsidP="00000000" w:rsidRDefault="00000000" w:rsidRPr="00000000" w14:paraId="00000062">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“that all peoples, nations, and languages should serve him” (Daniel 7:14, KJV)</w:t>
      </w:r>
      <w:r w:rsidDel="00000000" w:rsidR="00000000" w:rsidRPr="00000000">
        <w:rPr>
          <w:rtl w:val="0"/>
        </w:rPr>
      </w:r>
    </w:p>
    <w:p w:rsidR="00000000" w:rsidDel="00000000" w:rsidP="00000000" w:rsidRDefault="00000000" w:rsidRPr="00000000" w14:paraId="00000063">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“the saints of the Most High shall receive the kingdom” (Daniel 7:18, KJV)</w:t>
      </w:r>
      <w:r w:rsidDel="00000000" w:rsidR="00000000" w:rsidRPr="00000000">
        <w:rPr>
          <w:rtl w:val="0"/>
        </w:rPr>
      </w:r>
    </w:p>
    <w:p w:rsidR="00000000" w:rsidDel="00000000" w:rsidP="00000000" w:rsidRDefault="00000000" w:rsidRPr="00000000" w14:paraId="00000064">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“And the kingdom and dominion, and the greatness of the kingdom under the whole heaven, shall be given to the people of the saints of the most High, whose kingdom is an everlasting kingdom, and all dominions shall serve and obey him.” (Daniel 7:27, KJV)</w:t>
      </w:r>
      <w:r w:rsidDel="00000000" w:rsidR="00000000" w:rsidRPr="00000000">
        <w:rPr>
          <w:rtl w:val="0"/>
        </w:rPr>
      </w:r>
    </w:p>
    <w:p w:rsidR="00000000" w:rsidDel="00000000" w:rsidP="00000000" w:rsidRDefault="00000000" w:rsidRPr="00000000" w14:paraId="00000065">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matters because it aligns directly with Jesus’ own language of transfer:</w:t>
      </w:r>
      <w:r w:rsidDel="00000000" w:rsidR="00000000" w:rsidRPr="00000000">
        <w:rPr>
          <w:rtl w:val="0"/>
        </w:rPr>
      </w:r>
    </w:p>
    <w:p w:rsidR="00000000" w:rsidDel="00000000" w:rsidP="00000000" w:rsidRDefault="00000000" w:rsidRPr="00000000" w14:paraId="00000066">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“the people of the prince who is to come shall destroy the city and the sanctuary” (Daniel 9:26, KJV)</w:t>
      </w:r>
      <w:r w:rsidDel="00000000" w:rsidR="00000000" w:rsidRPr="00000000">
        <w:rPr>
          <w:rtl w:val="0"/>
        </w:rPr>
      </w:r>
    </w:p>
    <w:p w:rsidR="00000000" w:rsidDel="00000000" w:rsidP="00000000" w:rsidRDefault="00000000" w:rsidRPr="00000000" w14:paraId="00000067">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“he shall cause sacrifice and offering to cease” (Daniel 9:27, KJV)</w:t>
      </w:r>
      <w:r w:rsidDel="00000000" w:rsidR="00000000" w:rsidRPr="00000000">
        <w:rPr>
          <w:rtl w:val="0"/>
        </w:rPr>
      </w:r>
    </w:p>
    <w:p w:rsidR="00000000" w:rsidDel="00000000" w:rsidP="00000000" w:rsidRDefault="00000000" w:rsidRPr="00000000" w14:paraId="00000068">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“it is the blood that makes atonement by the life” (Leviticus 17:11, KJV)</w:t>
      </w:r>
      <w:r w:rsidDel="00000000" w:rsidR="00000000" w:rsidRPr="00000000">
        <w:rPr>
          <w:rtl w:val="0"/>
        </w:rPr>
      </w:r>
    </w:p>
    <w:p w:rsidR="00000000" w:rsidDel="00000000" w:rsidP="00000000" w:rsidRDefault="00000000" w:rsidRPr="00000000" w14:paraId="00000069">
      <w:pPr>
        <w:spacing w:after="120" w:line="276" w:lineRule="auto"/>
        <w:rPr>
          <w:rFonts w:ascii="Times New Roman" w:cs="Times New Roman" w:eastAsia="Times New Roman" w:hAnsi="Times New Roman"/>
          <w:sz w:val="24"/>
          <w:szCs w:val="24"/>
        </w:rPr>
      </w:pPr>
      <w:r w:rsidDel="00000000" w:rsidR="00000000" w:rsidRPr="00000000">
        <w:rPr>
          <w:rtl w:val="0"/>
        </w:rPr>
        <w:t xml:space="preserve">If sacrifice ceases in history—not symbolically, but concretely—then continuity cannot be maintained by assertion alone. Either God leaves humanity without an operable path of obedience and worship, or guidance is articulated in a form that no longer depends on a destroyed sanctuary. Daniel presents this as foreseen judgment followed by divine action. The stronger claim is cumulative: Scripture anticipates a decisive post-Temple phase marked by cessation, transfer, and a nations-facing form of God’s rule. If sacrifice ceases, if stewardship transfers, and if guidance must remain public and operable, then the issue is not whether later guidance is possible, but how to recognize it. This is precisely where the earlier categories matter. Prophetic authority, in the Deuteronomic sense, is conveyed speech:</w:t>
      </w:r>
      <w:r w:rsidDel="00000000" w:rsidR="00000000" w:rsidRPr="00000000">
        <w:rPr>
          <w:rtl w:val="0"/>
        </w:rPr>
      </w:r>
    </w:p>
    <w:p w:rsidR="00000000" w:rsidDel="00000000" w:rsidP="00000000" w:rsidRDefault="00000000" w:rsidRPr="00000000" w14:paraId="0000006A">
      <w:pPr>
        <w:spacing w:after="120" w:line="276" w:lineRule="auto"/>
        <w:rPr>
          <w:rFonts w:ascii="Times New Roman" w:cs="Times New Roman" w:eastAsia="Times New Roman" w:hAnsi="Times New Roman"/>
          <w:sz w:val="24"/>
          <w:szCs w:val="24"/>
        </w:rPr>
      </w:pPr>
      <w:r w:rsidDel="00000000" w:rsidR="00000000" w:rsidRPr="00000000">
        <w:rPr>
          <w:rtl w:val="0"/>
        </w:rPr>
        <w:t xml:space="preserve">Jesus affirms the law, warns against lawlessness, and speaks of future deception and discernment by fruit (Matthew 7:15–23, KJV). He does not claim to abolish the law (Matthew 5:17, KJV), nor does he identify himself as the nations-lawgiver Daniel and Isaiah anticipate. Daniel therefore cannot be closed off as “already fulfilled” without explaining how the Temple’s destruction leaves an operable covenantal path intact.</w:t>
      </w:r>
      <w:r w:rsidDel="00000000" w:rsidR="00000000" w:rsidRPr="00000000">
        <w:rPr>
          <w:rtl w:val="0"/>
        </w:rPr>
      </w:r>
    </w:p>
    <w:p w:rsidR="00000000" w:rsidDel="00000000" w:rsidP="00000000" w:rsidRDefault="00000000" w:rsidRPr="00000000" w14:paraId="0000006B">
      <w:pPr>
        <w:spacing w:after="120" w:line="276" w:lineRule="auto"/>
        <w:rPr>
          <w:rFonts w:ascii="Times New Roman" w:cs="Times New Roman" w:eastAsia="Times New Roman" w:hAnsi="Times New Roman"/>
          <w:sz w:val="24"/>
          <w:szCs w:val="24"/>
        </w:rPr>
      </w:pPr>
      <w:r w:rsidDel="00000000" w:rsidR="00000000" w:rsidRPr="00000000">
        <w:rPr>
          <w:rtl w:val="0"/>
        </w:rPr>
        <w:t xml:space="preserve">Seen this way, Daniel does not argue for Islam in isolation. It forces the continuity question. Judaism preserves identity and devotion under deprivation. Pauline Christianity constructs a replacement mechanism centered on atonement theology articulated through apostolic letters. Islam, by contrast, claims restoration: conveyed revelation, portable worship, and a legal-moral framework that functions without sanctuary dependence — precisely the kind of solution a post-Temple horizon would require if God does not abandon guidance. The weight of Daniel, then, is not that it names Muhammad explicitly, but that it renders the idea of a later, enduring, nations-facing restoration not only possible but structurally expected. When Daniel is read alongside Isaiah’s anti-idolatry horizon and Jesus’ stewardship transfer language, the convergence becomes difficult to dismiss as coincidence. What initially appears as a disputed interpretation begins to look like a pattern. (KJV)</w:t>
      </w:r>
      <w:r w:rsidDel="00000000" w:rsidR="00000000" w:rsidRPr="00000000">
        <w:rPr>
          <w:rtl w:val="0"/>
        </w:rPr>
      </w:r>
    </w:p>
    <w:p w:rsidR="00000000" w:rsidDel="00000000" w:rsidP="00000000" w:rsidRDefault="00000000" w:rsidRPr="00000000" w14:paraId="0000006C">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Islam Defined on Its Own Terms: Restoration, Authority, and Continuity</w:t>
      </w:r>
      <w:r w:rsidDel="00000000" w:rsidR="00000000" w:rsidRPr="00000000">
        <w:rPr>
          <w:rtl w:val="0"/>
        </w:rPr>
      </w:r>
    </w:p>
    <w:p w:rsidR="00000000" w:rsidDel="00000000" w:rsidP="00000000" w:rsidRDefault="00000000" w:rsidRPr="00000000" w14:paraId="0000006D">
      <w:pPr>
        <w:spacing w:after="120" w:line="276" w:lineRule="auto"/>
        <w:rPr>
          <w:rFonts w:ascii="Times New Roman" w:cs="Times New Roman" w:eastAsia="Times New Roman" w:hAnsi="Times New Roman"/>
          <w:sz w:val="24"/>
          <w:szCs w:val="24"/>
        </w:rPr>
      </w:pPr>
      <w:r w:rsidDel="00000000" w:rsidR="00000000" w:rsidRPr="00000000">
        <w:rPr>
          <w:rtl w:val="0"/>
        </w:rPr>
        <w:t xml:space="preserve">Here the argument must do something many discussions fail to do: define Islam as Islam defines itself, before evaluating whether it fits the post-Temple silhouette. This is not a courtesy—it is required for accuracy. A common misconception in Christian–Muslim debate is that Islam is “built on” the Bible in the sense of treating the Torah and New Testament as binding authorities. Islam does not. The Bible is used here as pre-claim context—because the essay is examining whether the biblical world anticipates a widened guidance horizon after the Temple rupture—but Islam’s operative authority is the Qur’an and the prophetic tradition (Sunnah). That distinction is central because the post-Temple problem is an operability problem: a religion must have a functioning mechanism of worship and law that is actually livable after 70 CE. Islam’s claim is that it does.</w:t>
      </w:r>
      <w:r w:rsidDel="00000000" w:rsidR="00000000" w:rsidRPr="00000000">
        <w:rPr>
          <w:rtl w:val="0"/>
        </w:rPr>
      </w:r>
    </w:p>
    <w:p w:rsidR="00000000" w:rsidDel="00000000" w:rsidP="00000000" w:rsidRDefault="00000000" w:rsidRPr="00000000" w14:paraId="0000006E">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Islam’s core self-claim is not just that it offers devotion to God, but that it presents itself as restoring prophetic religion as a complete way of worship and obedience. The Qur’an repeatedly presents itself as revelation rather than personal authorship, and as a public address rather than a private theological speculation. The text frames itself as recitation:</w:t>
      </w:r>
      <w:r w:rsidDel="00000000" w:rsidR="00000000" w:rsidRPr="00000000">
        <w:rPr>
          <w:rtl w:val="0"/>
        </w:rPr>
      </w:r>
    </w:p>
    <w:p w:rsidR="00000000" w:rsidDel="00000000" w:rsidP="00000000" w:rsidRDefault="00000000" w:rsidRPr="00000000" w14:paraId="0000006F">
      <w:pPr>
        <w:spacing w:after="120" w:line="276" w:lineRule="auto"/>
        <w:rPr>
          <w:rFonts w:ascii="Times New Roman" w:cs="Times New Roman" w:eastAsia="Times New Roman" w:hAnsi="Times New Roman"/>
          <w:sz w:val="24"/>
          <w:szCs w:val="24"/>
        </w:rPr>
      </w:pPr>
      <w:r w:rsidDel="00000000" w:rsidR="00000000" w:rsidRPr="00000000">
        <w:rPr>
          <w:rtl w:val="0"/>
        </w:rPr>
        <w:t xml:space="preserve">And it denies that the messenger speaks religious doctrine from desire:</w:t>
      </w:r>
      <w:r w:rsidDel="00000000" w:rsidR="00000000" w:rsidRPr="00000000">
        <w:rPr>
          <w:rtl w:val="0"/>
        </w:rPr>
      </w:r>
    </w:p>
    <w:p w:rsidR="00000000" w:rsidDel="00000000" w:rsidP="00000000" w:rsidRDefault="00000000" w:rsidRPr="00000000" w14:paraId="00000070">
      <w:pPr>
        <w:spacing w:after="120" w:line="276" w:lineRule="auto"/>
        <w:rPr>
          <w:rFonts w:ascii="Times New Roman" w:cs="Times New Roman" w:eastAsia="Times New Roman" w:hAnsi="Times New Roman"/>
          <w:sz w:val="24"/>
          <w:szCs w:val="24"/>
        </w:rPr>
      </w:pPr>
      <w:r w:rsidDel="00000000" w:rsidR="00000000" w:rsidRPr="00000000">
        <w:rPr>
          <w:rtl w:val="0"/>
        </w:rPr>
        <w:t xml:space="preserve">Put simply, its mode is conveyed speech—words given, recited, and publicly proclaimed—matching the biblical category of prophetic authority:</w:t>
      </w:r>
      <w:r w:rsidDel="00000000" w:rsidR="00000000" w:rsidRPr="00000000">
        <w:rPr>
          <w:rtl w:val="0"/>
        </w:rPr>
      </w:r>
    </w:p>
    <w:p w:rsidR="00000000" w:rsidDel="00000000" w:rsidP="00000000" w:rsidRDefault="00000000" w:rsidRPr="00000000" w14:paraId="00000071">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shows structural coherence.</w:t>
      </w:r>
      <w:r w:rsidDel="00000000" w:rsidR="00000000" w:rsidRPr="00000000">
        <w:rPr>
          <w:rtl w:val="0"/>
        </w:rPr>
      </w:r>
    </w:p>
    <w:p w:rsidR="00000000" w:rsidDel="00000000" w:rsidP="00000000" w:rsidRDefault="00000000" w:rsidRPr="00000000" w14:paraId="00000072">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“To the law and to the testimony! If they do not speak according to this word, it is because they have no dawn” (Isaiah 8:20, KJV)</w:t>
      </w:r>
      <w:r w:rsidDel="00000000" w:rsidR="00000000" w:rsidRPr="00000000">
        <w:rPr>
          <w:rtl w:val="0"/>
        </w:rPr>
      </w:r>
    </w:p>
    <w:p w:rsidR="00000000" w:rsidDel="00000000" w:rsidP="00000000" w:rsidRDefault="00000000" w:rsidRPr="00000000" w14:paraId="00000073">
      <w:pPr>
        <w:spacing w:after="120" w:line="276" w:lineRule="auto"/>
        <w:rPr>
          <w:rFonts w:ascii="Times New Roman" w:cs="Times New Roman" w:eastAsia="Times New Roman" w:hAnsi="Times New Roman"/>
          <w:sz w:val="24"/>
          <w:szCs w:val="24"/>
        </w:rPr>
      </w:pPr>
      <w:r w:rsidDel="00000000" w:rsidR="00000000" w:rsidRPr="00000000">
        <w:rPr>
          <w:rtl w:val="0"/>
        </w:rPr>
        <w:t xml:space="preserve">That is, true guidance is measured by fidelity to monotheism and obedience, not by charisma or institutional inheritance. Islam presents itself as a criterion that clarifies and separates truth from drift in worship and doctrine, calling people back to the God of Abraham without divided devotion—consistent with the Torah’s insistence,</w:t>
      </w:r>
      <w:r w:rsidDel="00000000" w:rsidR="00000000" w:rsidRPr="00000000">
        <w:rPr>
          <w:rtl w:val="0"/>
        </w:rPr>
      </w:r>
    </w:p>
    <w:p w:rsidR="00000000" w:rsidDel="00000000" w:rsidP="00000000" w:rsidRDefault="00000000" w:rsidRPr="00000000" w14:paraId="00000074">
      <w:pPr>
        <w:spacing w:after="120" w:line="276" w:lineRule="auto"/>
        <w:rPr>
          <w:rFonts w:ascii="Times New Roman" w:cs="Times New Roman" w:eastAsia="Times New Roman" w:hAnsi="Times New Roman"/>
          <w:sz w:val="24"/>
          <w:szCs w:val="24"/>
        </w:rPr>
      </w:pPr>
      <w:r w:rsidDel="00000000" w:rsidR="00000000" w:rsidRPr="00000000">
        <w:rPr>
          <w:rtl w:val="0"/>
        </w:rPr>
        <w:t xml:space="preserve">And Jesus’ preservation of exclusive worship,</w:t>
      </w:r>
      <w:r w:rsidDel="00000000" w:rsidR="00000000" w:rsidRPr="00000000">
        <w:rPr>
          <w:rtl w:val="0"/>
        </w:rPr>
      </w:r>
    </w:p>
    <w:p w:rsidR="00000000" w:rsidDel="00000000" w:rsidP="00000000" w:rsidRDefault="00000000" w:rsidRPr="00000000" w14:paraId="00000075">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post-Temple relevance becomes clearer when authority is stated plainly. After 70 CE, a sanctuary-bound system is no longer fully performable as prescribed. A restoration claim would have to do at least three things to be meaningful rather than rhetorical: it would have to re-center worship on God alone; it would have to provide an operable law-and-worship system not dependent on a physical altar; and it would have to provide a stable authority structure that does not rely on reconstructing an inoperable mechanism through speculative replacement. Islam claims all three. It asserts uncompromising monotheism, rejects worship directed to anyone besides God, and establishes a portable worship life: prayer, fasting, almsgiving, pilgrimage, repentance, and a comprehensive ethical-legal order. The Qur’an and Sunnah, accordingly, function as the post-Temple operational center. This is the point where a clarification must be made for readers shaped by Christian assumptions about Scripture. Islam does not deny that God revealed Torah or that Jesus was a prophet and Messiah; it denies that the preservation and authority questions can be ignored. The Bible itself contains warnings about deviation and the need for discernment, and it does not present covenant history as immune to human alteration. The prophetic complaint is often that people</w:t>
      </w:r>
      <w:r w:rsidDel="00000000" w:rsidR="00000000" w:rsidRPr="00000000">
        <w:rPr>
          <w:rtl w:val="0"/>
        </w:rPr>
      </w:r>
    </w:p>
    <w:p w:rsidR="00000000" w:rsidDel="00000000" w:rsidP="00000000" w:rsidRDefault="00000000" w:rsidRPr="00000000" w14:paraId="00000077">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“Wherefore the Lord said, Forasmuch as this people draw near me with their mouth, and with their lips do honour me, but have removed their heart far from me, and their fear toward me is taught by the precept of men:” (Isaiah 29:13, KJV)</w:t>
      </w:r>
      <w:r w:rsidDel="00000000" w:rsidR="00000000" w:rsidRPr="00000000">
        <w:rPr>
          <w:rtl w:val="0"/>
        </w:rPr>
      </w:r>
    </w:p>
    <w:p w:rsidR="00000000" w:rsidDel="00000000" w:rsidP="00000000" w:rsidRDefault="00000000" w:rsidRPr="00000000" w14:paraId="00000078">
      <w:pPr>
        <w:spacing w:after="120" w:line="276" w:lineRule="auto"/>
        <w:rPr>
          <w:rFonts w:ascii="Times New Roman" w:cs="Times New Roman" w:eastAsia="Times New Roman" w:hAnsi="Times New Roman"/>
          <w:sz w:val="24"/>
          <w:szCs w:val="24"/>
        </w:rPr>
      </w:pPr>
      <w:r w:rsidDel="00000000" w:rsidR="00000000" w:rsidRPr="00000000">
        <w:rPr>
          <w:rtl w:val="0"/>
        </w:rPr>
        <w:t xml:space="preserve">and that religion becomes layered with human additions. Islam’s restoration claim is that it presents a return worship to the Abrahamic baseline and restores guidance as an operable way of life—precisely the kind of “engine” a post-Temple world would require if God’s mercy continues in guidance.</w:t>
      </w:r>
      <w:r w:rsidDel="00000000" w:rsidR="00000000" w:rsidRPr="00000000">
        <w:rPr>
          <w:rtl w:val="0"/>
        </w:rPr>
      </w:r>
    </w:p>
    <w:p w:rsidR="00000000" w:rsidDel="00000000" w:rsidP="00000000" w:rsidRDefault="00000000" w:rsidRPr="00000000" w14:paraId="00000079">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Muhammad’s Claim and the Mode of Revelation: Public Proclamation and Recited Speech</w:t>
      </w:r>
      <w:r w:rsidDel="00000000" w:rsidR="00000000" w:rsidRPr="00000000">
        <w:rPr>
          <w:rtl w:val="0"/>
        </w:rPr>
      </w:r>
    </w:p>
    <w:p w:rsidR="00000000" w:rsidDel="00000000" w:rsidP="00000000" w:rsidRDefault="00000000" w:rsidRPr="00000000" w14:paraId="0000007A">
      <w:pPr>
        <w:spacing w:after="120" w:line="276" w:lineRule="auto"/>
        <w:rPr>
          <w:rFonts w:ascii="Times New Roman" w:cs="Times New Roman" w:eastAsia="Times New Roman" w:hAnsi="Times New Roman"/>
          <w:sz w:val="24"/>
          <w:szCs w:val="24"/>
        </w:rPr>
      </w:pPr>
      <w:r w:rsidDel="00000000" w:rsidR="00000000" w:rsidRPr="00000000">
        <w:rPr>
          <w:rtl w:val="0"/>
        </w:rPr>
        <w:t xml:space="preserve">If the post-Temple rupture is taken seriously, then the question of “another messenger” is not an emotional leap; it is a structural inquiry. The Torah’s altar-centered mechanism is written, yet after 70 CE it is no longer practicable as prescribed. If God’s pattern is guidance rather than abandonment—</w:t>
      </w:r>
      <w:r w:rsidDel="00000000" w:rsidR="00000000" w:rsidRPr="00000000">
        <w:rPr>
          <w:rtl w:val="0"/>
        </w:rPr>
      </w:r>
    </w:p>
    <w:p w:rsidR="00000000" w:rsidDel="00000000" w:rsidP="00000000" w:rsidRDefault="00000000" w:rsidRPr="00000000" w14:paraId="0000007B">
      <w:pPr>
        <w:spacing w:after="120" w:line="276" w:lineRule="auto"/>
        <w:rPr>
          <w:rFonts w:ascii="Times New Roman" w:cs="Times New Roman" w:eastAsia="Times New Roman" w:hAnsi="Times New Roman"/>
          <w:sz w:val="24"/>
          <w:szCs w:val="24"/>
        </w:rPr>
      </w:pPr>
      <w:r w:rsidDel="00000000" w:rsidR="00000000" w:rsidRPr="00000000">
        <w:rPr>
          <w:rtl w:val="0"/>
        </w:rPr>
        <w:t xml:space="preserve">Then the plausibility of renewed guidance is not foreign to Scripture. The question becomes what kind of messenger could plausibly function as a post-rupture continuation of prophetic religion: not just a philosopher, but a conveyor of binding guidance whose output is operable worship and law, portable across lands, and oriented to the God of Abraham alone—</w:t>
      </w:r>
      <w:r w:rsidDel="00000000" w:rsidR="00000000" w:rsidRPr="00000000">
        <w:rPr>
          <w:rtl w:val="0"/>
        </w:rPr>
      </w:r>
    </w:p>
    <w:p w:rsidR="00000000" w:rsidDel="00000000" w:rsidP="00000000" w:rsidRDefault="00000000" w:rsidRPr="00000000" w14:paraId="0000007C">
      <w:pPr>
        <w:spacing w:after="120" w:line="276" w:lineRule="auto"/>
        <w:rPr>
          <w:rFonts w:ascii="Times New Roman" w:cs="Times New Roman" w:eastAsia="Times New Roman" w:hAnsi="Times New Roman"/>
          <w:sz w:val="24"/>
          <w:szCs w:val="24"/>
        </w:rPr>
      </w:pPr>
      <w:r w:rsidDel="00000000" w:rsidR="00000000" w:rsidRPr="00000000">
        <w:rPr>
          <w:rtl w:val="0"/>
        </w:rPr>
        <w:t xml:space="preserve">Muhammad’s claim, in Islam’s own self-definition, is precisely of that type. He does not present himself as an author constructing a system from personal genius; he presents himself as a messenger receiving and conveying address. The Qur’an’s rhetoric is not “Muhammad thinks.” It is “Say”—the grammar of proclamation. Islam’s core texts characterize his role as reception and transmission.</w:t>
      </w:r>
      <w:r w:rsidDel="00000000" w:rsidR="00000000" w:rsidRPr="00000000">
        <w:rPr>
          <w:rtl w:val="0"/>
        </w:rPr>
      </w:r>
    </w:p>
    <w:p w:rsidR="00000000" w:rsidDel="00000000" w:rsidP="00000000" w:rsidRDefault="00000000" w:rsidRPr="00000000" w14:paraId="0000007D">
      <w:pPr>
        <w:spacing w:after="120" w:line="276" w:lineRule="auto"/>
        <w:rPr>
          <w:rFonts w:ascii="Times New Roman" w:cs="Times New Roman" w:eastAsia="Times New Roman" w:hAnsi="Times New Roman"/>
          <w:sz w:val="24"/>
          <w:szCs w:val="24"/>
        </w:rPr>
      </w:pPr>
      <w:r w:rsidDel="00000000" w:rsidR="00000000" w:rsidRPr="00000000">
        <w:rPr>
          <w:rtl w:val="0"/>
        </w:rPr>
        <w:t xml:space="preserve">recitation:</w:t>
      </w:r>
      <w:r w:rsidDel="00000000" w:rsidR="00000000" w:rsidRPr="00000000">
        <w:rPr>
          <w:rtl w:val="0"/>
        </w:rPr>
      </w:r>
    </w:p>
    <w:p w:rsidR="00000000" w:rsidDel="00000000" w:rsidP="00000000" w:rsidRDefault="00000000" w:rsidRPr="00000000" w14:paraId="0000007E">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explicitly denies that its content is the product of personal religious creativity:</w:t>
      </w:r>
      <w:r w:rsidDel="00000000" w:rsidR="00000000" w:rsidRPr="00000000">
        <w:rPr>
          <w:rtl w:val="0"/>
        </w:rPr>
      </w:r>
    </w:p>
    <w:p w:rsidR="00000000" w:rsidDel="00000000" w:rsidP="00000000" w:rsidRDefault="00000000" w:rsidRPr="00000000" w14:paraId="0000007F">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“This is the Book about which there is no doubt, a guidance for those conscious of Allah.” (Qur’an 2:2, Sahih International)</w:t>
      </w:r>
      <w:r w:rsidDel="00000000" w:rsidR="00000000" w:rsidRPr="00000000">
        <w:rPr>
          <w:rtl w:val="0"/>
        </w:rPr>
      </w:r>
    </w:p>
    <w:p w:rsidR="00000000" w:rsidDel="00000000" w:rsidP="00000000" w:rsidRDefault="00000000" w:rsidRPr="00000000" w14:paraId="00000080">
      <w:pPr>
        <w:spacing w:after="120" w:line="276" w:lineRule="auto"/>
        <w:rPr>
          <w:rFonts w:ascii="Times New Roman" w:cs="Times New Roman" w:eastAsia="Times New Roman" w:hAnsi="Times New Roman"/>
          <w:sz w:val="24"/>
          <w:szCs w:val="24"/>
        </w:rPr>
      </w:pPr>
      <w:r w:rsidDel="00000000" w:rsidR="00000000" w:rsidRPr="00000000">
        <w:rPr>
          <w:rtl w:val="0"/>
        </w:rPr>
        <w:t xml:space="preserve">It repeatedly describes itself as clarification and criterion—what later Islamic vocabulary names Furqān—so that guidance is not just inspirational but discriminating: it separates true worship from drift and false devotion. That mode is structurally important in a post-Temple argument. The Hebrew Bible’s model of prophetic authority is not primarily academic exegesis; it is conveyed speech and binding instruction:</w:t>
      </w:r>
      <w:r w:rsidDel="00000000" w:rsidR="00000000" w:rsidRPr="00000000">
        <w:rPr>
          <w:rtl w:val="0"/>
        </w:rPr>
      </w:r>
    </w:p>
    <w:p w:rsidR="00000000" w:rsidDel="00000000" w:rsidP="00000000" w:rsidRDefault="00000000" w:rsidRPr="00000000" w14:paraId="00000081">
      <w:pPr>
        <w:spacing w:after="120" w:line="276" w:lineRule="auto"/>
        <w:rPr>
          <w:rFonts w:ascii="Times New Roman" w:cs="Times New Roman" w:eastAsia="Times New Roman" w:hAnsi="Times New Roman"/>
          <w:sz w:val="24"/>
          <w:szCs w:val="24"/>
        </w:rPr>
      </w:pPr>
      <w:r w:rsidDel="00000000" w:rsidR="00000000" w:rsidRPr="00000000">
        <w:rPr>
          <w:rtl w:val="0"/>
        </w:rPr>
        <w:t xml:space="preserve">The relevance is not that one must accept Islam to see the parallel. The relevance is that, in the biblical imagination, revelation often arrives as words placed in a mouth and delivered to a people; and after a rupture that renders older institutional mechanisms inoperable, a continuation that presents itself as conveyed instruction is structurally intelligible as “prophetic” in form. Muhammad’s claim is also explicitly Abrahamic in address and intention. Islam does not claim to invent a new deity or to redirect worship to a tribal god. It claims to restore worship of the God known in biblical memory: the Creator, the God of Abraham, the God who judges idolatry and calls humanity to repentance. The Qur’an frames its call as continuous with the prophetic call: exclusive worship of God, rejection of idols, and righteousness as lived obedience. This aligns with the biblical baseline that God’s covenantal seriousness is not mere identity but obedience—</w:t>
      </w:r>
      <w:r w:rsidDel="00000000" w:rsidR="00000000" w:rsidRPr="00000000">
        <w:rPr>
          <w:rtl w:val="0"/>
        </w:rPr>
      </w:r>
    </w:p>
    <w:p w:rsidR="00000000" w:rsidDel="00000000" w:rsidP="00000000" w:rsidRDefault="00000000" w:rsidRPr="00000000" w14:paraId="00000082">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“Ye shall therefore keep my statutes, and my judgments: which if a man do, he shall live in them: I am the LORD.” (Leviticus 18:5, KJV)</w:t>
      </w:r>
      <w:r w:rsidDel="00000000" w:rsidR="00000000" w:rsidRPr="00000000">
        <w:rPr>
          <w:rtl w:val="0"/>
        </w:rPr>
      </w:r>
    </w:p>
    <w:p w:rsidR="00000000" w:rsidDel="00000000" w:rsidP="00000000" w:rsidRDefault="00000000" w:rsidRPr="00000000" w14:paraId="00000083">
      <w:pPr>
        <w:spacing w:after="120" w:line="276" w:lineRule="auto"/>
        <w:rPr>
          <w:rFonts w:ascii="Times New Roman" w:cs="Times New Roman" w:eastAsia="Times New Roman" w:hAnsi="Times New Roman"/>
          <w:sz w:val="24"/>
          <w:szCs w:val="24"/>
        </w:rPr>
      </w:pPr>
      <w:r w:rsidDel="00000000" w:rsidR="00000000" w:rsidRPr="00000000">
        <w:rPr>
          <w:rtl w:val="0"/>
        </w:rPr>
        <w:t xml:space="preserve">And with the prophetic insistence that repentance and return are the doorway back—</w:t>
      </w:r>
      <w:r w:rsidDel="00000000" w:rsidR="00000000" w:rsidRPr="00000000">
        <w:rPr>
          <w:rtl w:val="0"/>
        </w:rPr>
      </w:r>
    </w:p>
    <w:p w:rsidR="00000000" w:rsidDel="00000000" w:rsidP="00000000" w:rsidRDefault="00000000" w:rsidRPr="00000000" w14:paraId="00000084">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“Let the wicked forsake his way, and the unrighteous man his thoughts: and let him return unto the LORD, and he will have mercy upon him; and to our God, for he will abundantly pardon.” (Isaiah 55:7, KJV)</w:t>
      </w:r>
      <w:r w:rsidDel="00000000" w:rsidR="00000000" w:rsidRPr="00000000">
        <w:rPr>
          <w:rtl w:val="0"/>
        </w:rPr>
      </w:r>
    </w:p>
    <w:p w:rsidR="00000000" w:rsidDel="00000000" w:rsidP="00000000" w:rsidRDefault="00000000" w:rsidRPr="00000000" w14:paraId="00000085">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“But go ye and learn what that meaneth, I will have mercy, and not sacrifice: for I am not come to call the righteous, but sinners to repentance.” (Matthew 9:13, KJV)</w:t>
      </w:r>
      <w:r w:rsidDel="00000000" w:rsidR="00000000" w:rsidRPr="00000000">
        <w:rPr>
          <w:rtl w:val="0"/>
        </w:rPr>
      </w:r>
    </w:p>
    <w:p w:rsidR="00000000" w:rsidDel="00000000" w:rsidP="00000000" w:rsidRDefault="00000000" w:rsidRPr="00000000" w14:paraId="00000086">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his warning that</w:t>
      </w:r>
      <w:r w:rsidDel="00000000" w:rsidR="00000000" w:rsidRPr="00000000">
        <w:rPr>
          <w:rtl w:val="0"/>
        </w:rPr>
      </w:r>
    </w:p>
    <w:p w:rsidR="00000000" w:rsidDel="00000000" w:rsidP="00000000" w:rsidRDefault="00000000" w:rsidRPr="00000000" w14:paraId="00000087">
      <w:pPr>
        <w:spacing w:after="120" w:line="276" w:lineRule="auto"/>
        <w:rPr>
          <w:rFonts w:ascii="Times New Roman" w:cs="Times New Roman" w:eastAsia="Times New Roman" w:hAnsi="Times New Roman"/>
          <w:sz w:val="24"/>
          <w:szCs w:val="24"/>
        </w:rPr>
      </w:pPr>
      <w:r w:rsidDel="00000000" w:rsidR="00000000" w:rsidRPr="00000000">
        <w:rPr>
          <w:rtl w:val="0"/>
        </w:rPr>
        <w:t xml:space="preserve">religiosity without obedience is emptiness—</w:t>
      </w:r>
      <w:r w:rsidDel="00000000" w:rsidR="00000000" w:rsidRPr="00000000">
        <w:rPr>
          <w:rtl w:val="0"/>
        </w:rPr>
      </w:r>
    </w:p>
    <w:p w:rsidR="00000000" w:rsidDel="00000000" w:rsidP="00000000" w:rsidRDefault="00000000" w:rsidRPr="00000000" w14:paraId="00000088">
      <w:pPr>
        <w:spacing w:after="120" w:line="276" w:lineRule="auto"/>
        <w:rPr>
          <w:rFonts w:ascii="Times New Roman" w:cs="Times New Roman" w:eastAsia="Times New Roman" w:hAnsi="Times New Roman"/>
          <w:sz w:val="24"/>
          <w:szCs w:val="24"/>
        </w:rPr>
      </w:pPr>
      <w:r w:rsidDel="00000000" w:rsidR="00000000" w:rsidRPr="00000000">
        <w:rPr>
          <w:rtl w:val="0"/>
        </w:rPr>
        <w:t xml:space="preserve">A key clarification helps protect the essay from misinterpretation. To say Islam is “post-Temple operable” is not to say Judaism is invalid or that Christianity is purely fraudulent. It is to name a structural difference. Rabbinic Judaism preserves Torah identity faithfully in exile without claiming that Torah is overwritten. Christianity—especially in its dominant Pauline form—resolves the rupture by re-centering atonement in the crucifixion, effectively relocating altar-logic into a once-for-all salvific event. Islam claims restoration: a renewed prophetic authority center (Qur’an and Sunnah) that restores monotheistic worship and law as a complete, practicable way of life without reliance on the Temple system. This is also the proper place to state plainly that Islam’s relationship to prior scripture is not one of legal dependence. Muslims do not treat the Torah or the New Testament as binding law. They are cited here because the argument is being tested inside the biblical world already knows, and because Jesus’ preserved teaching functions as a useful reference point for continuity claims.</w:t>
      </w:r>
      <w:r w:rsidDel="00000000" w:rsidR="00000000" w:rsidRPr="00000000">
        <w:rPr>
          <w:rtl w:val="0"/>
        </w:rPr>
      </w:r>
    </w:p>
    <w:p w:rsidR="00000000" w:rsidDel="00000000" w:rsidP="00000000" w:rsidRDefault="00000000" w:rsidRPr="00000000" w14:paraId="00000089">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The Furqān as Criterion: Why Islam Frames Itself as Correction Rather Than Invention</w:t>
      </w:r>
      <w:r w:rsidDel="00000000" w:rsidR="00000000" w:rsidRPr="00000000">
        <w:rPr>
          <w:rtl w:val="0"/>
        </w:rPr>
      </w:r>
    </w:p>
    <w:p w:rsidR="00000000" w:rsidDel="00000000" w:rsidP="00000000" w:rsidRDefault="00000000" w:rsidRPr="00000000" w14:paraId="0000008A">
      <w:pPr>
        <w:spacing w:after="120" w:line="276" w:lineRule="auto"/>
        <w:rPr>
          <w:rFonts w:ascii="Times New Roman" w:cs="Times New Roman" w:eastAsia="Times New Roman" w:hAnsi="Times New Roman"/>
          <w:sz w:val="24"/>
          <w:szCs w:val="24"/>
        </w:rPr>
      </w:pPr>
      <w:r w:rsidDel="00000000" w:rsidR="00000000" w:rsidRPr="00000000">
        <w:rPr>
          <w:rtl w:val="0"/>
        </w:rPr>
        <w:t xml:space="preserve">If the Temple rupture is the historical driver of the argument, then the Furqān is the conceptual axis of Islam’s self-claim. Islam does not present itself as a “new religious idea” competing for space in a marketplace. It presents itself as a criterion—an authoritative separator between authentic Abrahamic monotheism and later drift. In a biblical frame, this is not an alien concept. Scripture assumes that communities can deviate while retaining religious language, and it repeatedly calls for discernment and return. Isaiah rebukes the phenomenon directly:</w:t>
      </w:r>
      <w:r w:rsidDel="00000000" w:rsidR="00000000" w:rsidRPr="00000000">
        <w:rPr>
          <w:rtl w:val="0"/>
        </w:rPr>
      </w:r>
    </w:p>
    <w:p w:rsidR="00000000" w:rsidDel="00000000" w:rsidP="00000000" w:rsidRDefault="00000000" w:rsidRPr="00000000" w14:paraId="0000008B">
      <w:pPr>
        <w:spacing w:after="120" w:line="276" w:lineRule="auto"/>
        <w:rPr>
          <w:rFonts w:ascii="Times New Roman" w:cs="Times New Roman" w:eastAsia="Times New Roman" w:hAnsi="Times New Roman"/>
          <w:sz w:val="24"/>
          <w:szCs w:val="24"/>
        </w:rPr>
      </w:pPr>
      <w:r w:rsidDel="00000000" w:rsidR="00000000" w:rsidRPr="00000000">
        <w:rPr>
          <w:rtl w:val="0"/>
        </w:rPr>
        <w:t xml:space="preserve">Isaiah warns that public religiosity can become lip-service while the heart drifts, and that fear of God can be reduced to human tradition (Isaiah 29:13, KJV).</w:t>
      </w:r>
      <w:r w:rsidDel="00000000" w:rsidR="00000000" w:rsidRPr="00000000">
        <w:rPr>
          <w:rtl w:val="0"/>
        </w:rPr>
      </w:r>
    </w:p>
    <w:p w:rsidR="00000000" w:rsidDel="00000000" w:rsidP="00000000" w:rsidRDefault="00000000" w:rsidRPr="00000000" w14:paraId="0000008C">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prophets are not just storytellers; they are correctors who confront drift in worship and obedience and restore the covenant’s center. Islam claims to stand in that same corrective function, but with a decisive post-Temple difference: it claims not just to critique but to provide renewed, operable guidance—portable</w:t>
      </w:r>
      <w:r w:rsidDel="00000000" w:rsidR="00000000" w:rsidRPr="00000000">
        <w:rPr>
          <w:rtl w:val="0"/>
        </w:rPr>
      </w:r>
    </w:p>
    <w:p w:rsidR="00000000" w:rsidDel="00000000" w:rsidP="00000000" w:rsidRDefault="00000000" w:rsidRPr="00000000" w14:paraId="0000008D">
      <w:pPr>
        <w:spacing w:after="120" w:line="276" w:lineRule="auto"/>
        <w:rPr>
          <w:rFonts w:ascii="Times New Roman" w:cs="Times New Roman" w:eastAsia="Times New Roman" w:hAnsi="Times New Roman"/>
          <w:sz w:val="24"/>
          <w:szCs w:val="24"/>
        </w:rPr>
      </w:pPr>
      <w:r w:rsidDel="00000000" w:rsidR="00000000" w:rsidRPr="00000000">
        <w:rPr>
          <w:rtl w:val="0"/>
        </w:rPr>
        <w:t xml:space="preserve">worship and law—through conveyed revelation. The Qur’an frames its own mode as recited address rather than private theological construction:</w:t>
      </w:r>
      <w:r w:rsidDel="00000000" w:rsidR="00000000" w:rsidRPr="00000000">
        <w:rPr>
          <w:rtl w:val="0"/>
        </w:rPr>
      </w:r>
    </w:p>
    <w:p w:rsidR="00000000" w:rsidDel="00000000" w:rsidP="00000000" w:rsidRDefault="00000000" w:rsidRPr="00000000" w14:paraId="0000008E">
      <w:pPr>
        <w:spacing w:after="120" w:line="276" w:lineRule="auto"/>
        <w:rPr>
          <w:rFonts w:ascii="Times New Roman" w:cs="Times New Roman" w:eastAsia="Times New Roman" w:hAnsi="Times New Roman"/>
          <w:sz w:val="24"/>
          <w:szCs w:val="24"/>
        </w:rPr>
      </w:pPr>
      <w:r w:rsidDel="00000000" w:rsidR="00000000" w:rsidRPr="00000000">
        <w:rPr>
          <w:rtl w:val="0"/>
        </w:rPr>
        <w:t xml:space="preserve">And it denies that the messenger’s doctrine is produced from personal desire:</w:t>
      </w:r>
      <w:r w:rsidDel="00000000" w:rsidR="00000000" w:rsidRPr="00000000">
        <w:rPr>
          <w:rtl w:val="0"/>
        </w:rPr>
      </w:r>
    </w:p>
    <w:p w:rsidR="00000000" w:rsidDel="00000000" w:rsidP="00000000" w:rsidRDefault="00000000" w:rsidRPr="00000000" w14:paraId="0000008F">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the essay’s method, that matters because Deuteronomy’s prophetic category is</w:t>
      </w:r>
      <w:r w:rsidDel="00000000" w:rsidR="00000000" w:rsidRPr="00000000">
        <w:rPr>
          <w:rtl w:val="0"/>
        </w:rPr>
      </w:r>
    </w:p>
    <w:p w:rsidR="00000000" w:rsidDel="00000000" w:rsidP="00000000" w:rsidRDefault="00000000" w:rsidRPr="00000000" w14:paraId="00000090">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is not presented as a man’s reflections about God; it is presented as words delivered into public proclamation. This criterion-function is most visible in what Islam claims to correct. The corrections are not random; they target exactly the categories the Bible treats as decisive. First: the worship boundary.​ The Torah’s defining command is exclusive devotion:</w:t>
      </w:r>
      <w:r w:rsidDel="00000000" w:rsidR="00000000" w:rsidRPr="00000000">
        <w:rPr>
          <w:rtl w:val="0"/>
        </w:rPr>
      </w:r>
    </w:p>
    <w:p w:rsidR="00000000" w:rsidDel="00000000" w:rsidP="00000000" w:rsidRDefault="00000000" w:rsidRPr="00000000" w14:paraId="00000091">
      <w:pPr>
        <w:spacing w:after="120" w:line="276" w:lineRule="auto"/>
        <w:rPr>
          <w:rFonts w:ascii="Times New Roman" w:cs="Times New Roman" w:eastAsia="Times New Roman" w:hAnsi="Times New Roman"/>
          <w:sz w:val="24"/>
          <w:szCs w:val="24"/>
        </w:rPr>
      </w:pPr>
      <w:r w:rsidDel="00000000" w:rsidR="00000000" w:rsidRPr="00000000">
        <w:rPr>
          <w:rtl w:val="0"/>
        </w:rPr>
        <w:t xml:space="preserve">And Jesus reiterates the same boundary in direct speech:</w:t>
      </w:r>
      <w:r w:rsidDel="00000000" w:rsidR="00000000" w:rsidRPr="00000000">
        <w:rPr>
          <w:rtl w:val="0"/>
        </w:rPr>
      </w:r>
    </w:p>
    <w:p w:rsidR="00000000" w:rsidDel="00000000" w:rsidP="00000000" w:rsidRDefault="00000000" w:rsidRPr="00000000" w14:paraId="00000092">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“Wash you, make you clean; put away the evil of your doings from before mine eyes; cease to do evil; Learn to do well; seek judgment, relieve the oppressed, judge the fatherless, plead for the widow.” (Isaiah 1:16–17, KJV)</w:t>
      </w:r>
      <w:r w:rsidDel="00000000" w:rsidR="00000000" w:rsidRPr="00000000">
        <w:rPr>
          <w:rtl w:val="0"/>
        </w:rPr>
      </w:r>
    </w:p>
    <w:p w:rsidR="00000000" w:rsidDel="00000000" w:rsidP="00000000" w:rsidRDefault="00000000" w:rsidRPr="00000000" w14:paraId="00000093">
      <w:pPr>
        <w:spacing w:after="120" w:line="276" w:lineRule="auto"/>
        <w:rPr>
          <w:rFonts w:ascii="Times New Roman" w:cs="Times New Roman" w:eastAsia="Times New Roman" w:hAnsi="Times New Roman"/>
          <w:sz w:val="24"/>
          <w:szCs w:val="24"/>
        </w:rPr>
      </w:pPr>
      <w:r w:rsidDel="00000000" w:rsidR="00000000" w:rsidRPr="00000000">
        <w:rPr>
          <w:rtl w:val="0"/>
        </w:rPr>
        <w:t xml:space="preserve">Jesus defines authenticity the same way:</w:t>
      </w:r>
      <w:r w:rsidDel="00000000" w:rsidR="00000000" w:rsidRPr="00000000">
        <w:rPr>
          <w:rtl w:val="0"/>
        </w:rPr>
      </w:r>
    </w:p>
    <w:p w:rsidR="00000000" w:rsidDel="00000000" w:rsidP="00000000" w:rsidRDefault="00000000" w:rsidRPr="00000000" w14:paraId="00000094">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he warns against</w:t>
      </w:r>
      <w:r w:rsidDel="00000000" w:rsidR="00000000" w:rsidRPr="00000000">
        <w:rPr>
          <w:rtl w:val="0"/>
        </w:rPr>
      </w:r>
    </w:p>
    <w:p w:rsidR="00000000" w:rsidDel="00000000" w:rsidP="00000000" w:rsidRDefault="00000000" w:rsidRPr="00000000" w14:paraId="00000095">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“lawlessness” (Matthew 7:23, KJV)</w:t>
      </w:r>
      <w:r w:rsidDel="00000000" w:rsidR="00000000" w:rsidRPr="00000000">
        <w:rPr>
          <w:rtl w:val="0"/>
        </w:rPr>
      </w:r>
    </w:p>
    <w:p w:rsidR="00000000" w:rsidDel="00000000" w:rsidP="00000000" w:rsidRDefault="00000000" w:rsidRPr="00000000" w14:paraId="00000096">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claims to restore an obedience-centered religion whose public life is structured around worship and law, rather than a system whose center of gravity becomes a replacement mechanism that renders the Torah’s enacted framework functionally obsolete. Third: the question of authority after rupture. The post-Temple crisis is not resolved by sentiment; it is resolved by an authority center that can govern worship and law in an operable way. Islam’s claim is explicit: the Qur’an and the prophetic tradition (Sunnah) function as the operative authority for worship and law in the final dispensation. In this study, biblical texts are used as comparative context for the continuity problem, not as Islam’s legal foundation.</w:t>
      </w:r>
      <w:r w:rsidDel="00000000" w:rsidR="00000000" w:rsidRPr="00000000">
        <w:rPr>
          <w:rtl w:val="0"/>
        </w:rPr>
      </w:r>
    </w:p>
    <w:p w:rsidR="00000000" w:rsidDel="00000000" w:rsidP="00000000" w:rsidRDefault="00000000" w:rsidRPr="00000000" w14:paraId="00000097">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“Come now, let us reason together” (Isaiah 1:18, KJV)</w:t>
      </w:r>
      <w:r w:rsidDel="00000000" w:rsidR="00000000" w:rsidRPr="00000000">
        <w:rPr>
          <w:rtl w:val="0"/>
        </w:rPr>
      </w:r>
    </w:p>
    <w:p w:rsidR="00000000" w:rsidDel="00000000" w:rsidP="00000000" w:rsidRDefault="00000000" w:rsidRPr="00000000" w14:paraId="00000098">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Conscious Engagement: Narrative Contrasts That Function as Corrections</w:t>
      </w:r>
      <w:r w:rsidDel="00000000" w:rsidR="00000000" w:rsidRPr="00000000">
        <w:rPr>
          <w:rtl w:val="0"/>
        </w:rPr>
      </w:r>
    </w:p>
    <w:p w:rsidR="00000000" w:rsidDel="00000000" w:rsidP="00000000" w:rsidRDefault="00000000" w:rsidRPr="00000000" w14:paraId="00000099">
      <w:pPr>
        <w:spacing w:after="120" w:line="276" w:lineRule="auto"/>
        <w:rPr>
          <w:rFonts w:ascii="Times New Roman" w:cs="Times New Roman" w:eastAsia="Times New Roman" w:hAnsi="Times New Roman"/>
          <w:sz w:val="24"/>
          <w:szCs w:val="24"/>
        </w:rPr>
      </w:pPr>
      <w:r w:rsidDel="00000000" w:rsidR="00000000" w:rsidRPr="00000000">
        <w:rPr>
          <w:rtl w:val="0"/>
        </w:rPr>
        <w:t xml:space="preserve">A repeated pattern emerges: the Qur’an engages familiar biblical episodes while revising specific features. The revisions are not random. They consistently serve three aims: (1) God’s transcendence and exclusive right to worship; (2) prophetic dignity and moral clarity; and (3) religion centered on repentance, obedience, and direct accountability. The examples below are representative, not exhaustive, and they matter for the essay’s thesis because they illustrate what “Furqān” looks like in content: correction of drift while preserving the prophetic baseline.</w:t>
      </w:r>
      <w:r w:rsidDel="00000000" w:rsidR="00000000" w:rsidRPr="00000000">
        <w:rPr>
          <w:rtl w:val="0"/>
        </w:rPr>
      </w:r>
    </w:p>
    <w:p w:rsidR="00000000" w:rsidDel="00000000" w:rsidP="00000000" w:rsidRDefault="00000000" w:rsidRPr="00000000" w14:paraId="0000009A">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Moses’ Hand: From Affliction to a Sign Without Harm</w:t>
      </w:r>
      <w:r w:rsidDel="00000000" w:rsidR="00000000" w:rsidRPr="00000000">
        <w:rPr>
          <w:rtl w:val="0"/>
        </w:rPr>
      </w:r>
    </w:p>
    <w:p w:rsidR="00000000" w:rsidDel="00000000" w:rsidP="00000000" w:rsidRDefault="00000000" w:rsidRPr="00000000" w14:paraId="0000009B">
      <w:pPr>
        <w:spacing w:after="120" w:line="276" w:lineRule="auto"/>
        <w:rPr>
          <w:rFonts w:ascii="Times New Roman" w:cs="Times New Roman" w:eastAsia="Times New Roman" w:hAnsi="Times New Roman"/>
          <w:sz w:val="24"/>
          <w:szCs w:val="24"/>
        </w:rPr>
      </w:pPr>
      <w:r w:rsidDel="00000000" w:rsidR="00000000" w:rsidRPr="00000000">
        <w:rPr>
          <w:rtl w:val="0"/>
        </w:rPr>
        <w:t xml:space="preserve">Moses:</w:t>
      </w:r>
      <w:r w:rsidDel="00000000" w:rsidR="00000000" w:rsidRPr="00000000">
        <w:rPr>
          <w:rtl w:val="0"/>
        </w:rPr>
      </w:r>
    </w:p>
    <w:p w:rsidR="00000000" w:rsidDel="00000000" w:rsidP="00000000" w:rsidRDefault="00000000" w:rsidRPr="00000000" w14:paraId="0000009C">
      <w:pPr>
        <w:spacing w:after="120" w:line="276" w:lineRule="auto"/>
        <w:rPr>
          <w:rFonts w:ascii="Times New Roman" w:cs="Times New Roman" w:eastAsia="Times New Roman" w:hAnsi="Times New Roman"/>
          <w:sz w:val="24"/>
          <w:szCs w:val="24"/>
        </w:rPr>
      </w:pPr>
      <w:r w:rsidDel="00000000" w:rsidR="00000000" w:rsidRPr="00000000">
        <w:rPr>
          <w:rtl w:val="0"/>
        </w:rPr>
        <w:t xml:space="preserve">“And the LORD said also unto him, Put now thine hand into thy bosom. And he put his hand into his bosom: and when he took it out, behold, his hand was leprous as snow.” (Exodus 4:6, KJV)</w:t>
      </w:r>
      <w:r w:rsidDel="00000000" w:rsidR="00000000" w:rsidRPr="00000000">
        <w:rPr>
          <w:rtl w:val="0"/>
        </w:rPr>
      </w:r>
    </w:p>
    <w:p w:rsidR="00000000" w:rsidDel="00000000" w:rsidP="00000000" w:rsidRDefault="00000000" w:rsidRPr="00000000" w14:paraId="0000009D">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he said, Put thine hand into thy bosom again. And he put his hand into his bosom again; and plucked it out of his bosom, and, behold, it was turned again as his other flesh.” (Exodus 4:7, KJV)</w:t>
      </w:r>
      <w:r w:rsidDel="00000000" w:rsidR="00000000" w:rsidRPr="00000000">
        <w:rPr>
          <w:rtl w:val="0"/>
        </w:rPr>
      </w:r>
    </w:p>
    <w:p w:rsidR="00000000" w:rsidDel="00000000" w:rsidP="00000000" w:rsidRDefault="00000000" w:rsidRPr="00000000" w14:paraId="0000009E">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the Qur’an, the same sign is preserved as a miracle of brightness, but explicitly framed as “white without harm” (commonly rendered as “white without disease”): “And draw thy hand to thy bosom; it will come forth white without harm as another sign.” (Qur’an 20:22; see also 27:12; 28:32). The function is unchanged - a public sign to Pharaoh - but the retelling removes the implication that God humiliates His messenger through impurity at the moment of commissioning. The edit protects prophetic dignity while preserving the sign’s evidentiary role.</w:t>
      </w:r>
      <w:r w:rsidDel="00000000" w:rsidR="00000000" w:rsidRPr="00000000">
        <w:rPr>
          <w:rtl w:val="0"/>
        </w:rPr>
      </w:r>
    </w:p>
    <w:p w:rsidR="00000000" w:rsidDel="00000000" w:rsidP="00000000" w:rsidRDefault="00000000" w:rsidRPr="00000000" w14:paraId="0000009F">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Aaron and the Calf: From Authoring Idolatry to Resisting It</w:t>
      </w:r>
      <w:r w:rsidDel="00000000" w:rsidR="00000000" w:rsidRPr="00000000">
        <w:rPr>
          <w:rtl w:val="0"/>
        </w:rPr>
      </w:r>
    </w:p>
    <w:p w:rsidR="00000000" w:rsidDel="00000000" w:rsidP="00000000" w:rsidRDefault="00000000" w:rsidRPr="00000000" w14:paraId="000000A0">
      <w:pPr>
        <w:spacing w:after="80" w:line="276" w:lineRule="auto"/>
        <w:ind w:left="360"/>
        <w:rPr>
          <w:rFonts w:ascii="Times New Roman" w:cs="Times New Roman" w:eastAsia="Times New Roman" w:hAnsi="Times New Roman"/>
          <w:sz w:val="24"/>
          <w:szCs w:val="24"/>
        </w:rPr>
      </w:pPr>
      <w:r w:rsidDel="00000000" w:rsidR="00000000" w:rsidRPr="00000000">
        <w:rPr>
          <w:rtl w:val="0"/>
        </w:rPr>
        <w:t xml:space="preserve">“And he received them at their hand, and fashioned it with a graving tool, after he had made it a molten calf: and they said, These be thy gods, O Israel, which brought thee up out of the land of Egypt.” (Exodus 32:4, KJV)</w:t>
      </w:r>
      <w:r w:rsidDel="00000000" w:rsidR="00000000" w:rsidRPr="00000000">
        <w:rPr>
          <w:rtl w:val="0"/>
        </w:rPr>
      </w:r>
    </w:p>
    <w:p w:rsidR="00000000" w:rsidDel="00000000" w:rsidP="00000000" w:rsidRDefault="00000000" w:rsidRPr="00000000" w14:paraId="000000A1">
      <w:pPr>
        <w:spacing w:after="120" w:line="276" w:lineRule="auto"/>
        <w:rPr>
          <w:rFonts w:ascii="Times New Roman" w:cs="Times New Roman" w:eastAsia="Times New Roman" w:hAnsi="Times New Roman"/>
          <w:sz w:val="24"/>
          <w:szCs w:val="24"/>
        </w:rPr>
      </w:pPr>
      <w:r w:rsidDel="00000000" w:rsidR="00000000" w:rsidRPr="00000000">
        <w:rPr>
          <w:rtl w:val="0"/>
        </w:rPr>
        <w:t xml:space="preserve">“And when Aaron saw it, he built an altar before it; and Aaron made proclamation, and said, To morrow is a feast to the LORD.” (Exodus 32:5, KJV)</w:t>
      </w:r>
      <w:r w:rsidDel="00000000" w:rsidR="00000000" w:rsidRPr="00000000">
        <w:rPr>
          <w:rtl w:val="0"/>
        </w:rPr>
      </w:r>
    </w:p>
    <w:p w:rsidR="00000000" w:rsidDel="00000000" w:rsidP="00000000" w:rsidRDefault="00000000" w:rsidRPr="00000000" w14:paraId="000000A2">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retells the episode with Aaron warning the people and resisting the idolatry, later explaining to Moses that he feared division and was overpowered (Qur’an 20:90-94; 7:150-151). The Qur’an does not deny the calamity; it denies that a major prophet authored it. That refusal coheres with the Qur’an’s basic claim about prophethood: prophets call to tawhid; they do not institute shirk.</w:t>
      </w:r>
      <w:r w:rsidDel="00000000" w:rsidR="00000000" w:rsidRPr="00000000">
        <w:rPr>
          <w:rtl w:val="0"/>
        </w:rPr>
      </w:r>
    </w:p>
    <w:p w:rsidR="00000000" w:rsidDel="00000000" w:rsidP="00000000" w:rsidRDefault="00000000" w:rsidRPr="00000000" w14:paraId="000000A3">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Solomon: From Idolatrous Collapse to Explicit Exoneration</w:t>
      </w:r>
      <w:r w:rsidDel="00000000" w:rsidR="00000000" w:rsidRPr="00000000">
        <w:rPr>
          <w:rtl w:val="0"/>
        </w:rPr>
      </w:r>
    </w:p>
    <w:p w:rsidR="00000000" w:rsidDel="00000000" w:rsidP="00000000" w:rsidRDefault="00000000" w:rsidRPr="00000000" w14:paraId="000000A4">
      <w:pPr>
        <w:spacing w:after="80" w:line="276" w:lineRule="auto"/>
        <w:ind w:left="360"/>
        <w:rPr>
          <w:rFonts w:ascii="Times New Roman" w:cs="Times New Roman" w:eastAsia="Times New Roman" w:hAnsi="Times New Roman"/>
          <w:sz w:val="24"/>
          <w:szCs w:val="24"/>
        </w:rPr>
      </w:pPr>
      <w:r w:rsidDel="00000000" w:rsidR="00000000" w:rsidRPr="00000000">
        <w:rPr>
          <w:rtl w:val="0"/>
        </w:rPr>
        <w:t xml:space="preserve">“For it came to pass, when Solomon was old, that his wives turned away his heart after other gods: and his heart was not perfect with the LORD his God, as was the heart of David his father.” (1 Kings 11:4, KJV)</w:t>
      </w:r>
      <w:r w:rsidDel="00000000" w:rsidR="00000000" w:rsidRPr="00000000">
        <w:rPr>
          <w:rtl w:val="0"/>
        </w:rPr>
      </w:r>
    </w:p>
    <w:p w:rsidR="00000000" w:rsidDel="00000000" w:rsidP="00000000" w:rsidRDefault="00000000" w:rsidRPr="00000000" w14:paraId="000000A5">
      <w:pPr>
        <w:spacing w:after="120" w:line="276" w:lineRule="auto"/>
        <w:rPr>
          <w:rFonts w:ascii="Times New Roman" w:cs="Times New Roman" w:eastAsia="Times New Roman" w:hAnsi="Times New Roman"/>
          <w:sz w:val="24"/>
          <w:szCs w:val="24"/>
        </w:rPr>
      </w:pPr>
      <w:r w:rsidDel="00000000" w:rsidR="00000000" w:rsidRPr="00000000">
        <w:rPr>
          <w:rtl w:val="0"/>
        </w:rPr>
        <w:t xml:space="preserve">“Then did Solomon build an high place for Chemosh, the abomination of Moab, in the hill that is before Jerusalem, and for Molech, the abomination of the children of Ammon.” (1 Kings 11:7, KJV)</w:t>
      </w:r>
      <w:r w:rsidDel="00000000" w:rsidR="00000000" w:rsidRPr="00000000">
        <w:rPr>
          <w:rtl w:val="0"/>
        </w:rPr>
      </w:r>
    </w:p>
    <w:p w:rsidR="00000000" w:rsidDel="00000000" w:rsidP="00000000" w:rsidRDefault="00000000" w:rsidRPr="00000000" w14:paraId="000000A6">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explicitly denies that Solomon fell into disbelief: “And they followed what the devils had recited during the reign of Solomon. It was not Solomon who disbelieved, but the devils disbelieved, teaching people magic and that which was revealed to the two angels at Babylon, Harut and Marut. But the two angels do not teach anyone unless they say, ‘We are a trial, so do not disbelieve [by practicing magic].’ And yet they learn from them that by which they cause separation between a man and his wife. But they do not harm anyone through it except by permission of Allah. And the people learn what harms them and does not benefit them. But the Children of Israel certainly knew that whoever purchased it would not have in the Hereafter any share. And wretched is that for which they sold themselves, if they only knew.” (Qur’an 2:102, Sahih International). Again, the point is structural: the Qur’an consistently refuses to frame the prophetic office as collapsing into idolatry. It presents prophetic leadership as a sign of God, not as a vehicle for polytheistic scandal.</w:t>
      </w:r>
      <w:r w:rsidDel="00000000" w:rsidR="00000000" w:rsidRPr="00000000">
        <w:rPr>
          <w:rtl w:val="0"/>
        </w:rPr>
      </w:r>
    </w:p>
    <w:p w:rsidR="00000000" w:rsidDel="00000000" w:rsidP="00000000" w:rsidRDefault="00000000" w:rsidRPr="00000000" w14:paraId="000000A7">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Abraham’s Sacrifice: From Implied Test to Conscious Submission</w:t>
      </w:r>
      <w:r w:rsidDel="00000000" w:rsidR="00000000" w:rsidRPr="00000000">
        <w:rPr>
          <w:rtl w:val="0"/>
        </w:rPr>
      </w:r>
    </w:p>
    <w:p w:rsidR="00000000" w:rsidDel="00000000" w:rsidP="00000000" w:rsidRDefault="00000000" w:rsidRPr="00000000" w14:paraId="000000A8">
      <w:pPr>
        <w:spacing w:after="80" w:line="276" w:lineRule="auto"/>
        <w:ind w:left="360"/>
        <w:rPr>
          <w:rFonts w:ascii="Times New Roman" w:cs="Times New Roman" w:eastAsia="Times New Roman" w:hAnsi="Times New Roman"/>
          <w:sz w:val="24"/>
          <w:szCs w:val="24"/>
        </w:rPr>
      </w:pPr>
      <w:r w:rsidDel="00000000" w:rsidR="00000000" w:rsidRPr="00000000">
        <w:rPr>
          <w:rtl w:val="0"/>
        </w:rPr>
        <w:t xml:space="preserve">“Behold the fire and the wood: but where is the lamb for a burnt offering?” (Genesis 22:7, KJV)</w:t>
      </w:r>
      <w:r w:rsidDel="00000000" w:rsidR="00000000" w:rsidRPr="00000000">
        <w:rPr>
          <w:rtl w:val="0"/>
        </w:rPr>
      </w:r>
    </w:p>
    <w:p w:rsidR="00000000" w:rsidDel="00000000" w:rsidP="00000000" w:rsidRDefault="00000000" w:rsidRPr="00000000" w14:paraId="000000A9">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retells the scene with the son informed and consenting in submission: “O my son! I have seen in a dream that I am sacrificing you, so see what you think.” He said: “O my father, do what you are commanded; you will find me, if Allah wills, among the patient.” (Qur’an 37:102; see 37:103-107). The change is not cosmetic: it makes explicit the Islam-definition of religion as submission embodied by Abraham and his household.</w:t>
      </w:r>
      <w:r w:rsidDel="00000000" w:rsidR="00000000" w:rsidRPr="00000000">
        <w:rPr>
          <w:rtl w:val="0"/>
        </w:rPr>
      </w:r>
    </w:p>
    <w:p w:rsidR="00000000" w:rsidDel="00000000" w:rsidP="00000000" w:rsidRDefault="00000000" w:rsidRPr="00000000" w14:paraId="000000AA">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Lot: From Sexual Shame to Prophetic Moral Clarity</w:t>
      </w:r>
      <w:r w:rsidDel="00000000" w:rsidR="00000000" w:rsidRPr="00000000">
        <w:rPr>
          <w:rtl w:val="0"/>
        </w:rPr>
      </w:r>
    </w:p>
    <w:p w:rsidR="00000000" w:rsidDel="00000000" w:rsidP="00000000" w:rsidRDefault="00000000" w:rsidRPr="00000000" w14:paraId="000000AB">
      <w:pPr>
        <w:spacing w:after="120" w:line="276" w:lineRule="auto"/>
        <w:rPr>
          <w:rFonts w:ascii="Times New Roman" w:cs="Times New Roman" w:eastAsia="Times New Roman" w:hAnsi="Times New Roman"/>
          <w:sz w:val="24"/>
          <w:szCs w:val="24"/>
        </w:rPr>
      </w:pPr>
      <w:r w:rsidDel="00000000" w:rsidR="00000000" w:rsidRPr="00000000">
        <w:rPr>
          <w:rtl w:val="0"/>
        </w:rPr>
        <w:t xml:space="preserve">Genesis depicts Lot’s daughters intoxicating him and committing incest (Genesis 19:30-38). The Qur’an omits this scandal and consistently portrays Lot as a righteous warner opposing sexual immorality in his community (Qur’an 11:77-83; 26:160-175). The editorial choice again matches the same thesis-level claim: prophetic figures are exemplars of guidance, and the narrative center is the community’s corruption and the prophet’s warning, not a degrading tale that would weaken moral credibility.</w:t>
      </w:r>
      <w:r w:rsidDel="00000000" w:rsidR="00000000" w:rsidRPr="00000000">
        <w:rPr>
          <w:rtl w:val="0"/>
        </w:rPr>
      </w:r>
    </w:p>
    <w:p w:rsidR="00000000" w:rsidDel="00000000" w:rsidP="00000000" w:rsidRDefault="00000000" w:rsidRPr="00000000" w14:paraId="000000AC">
      <w:pPr>
        <w:spacing w:after="120" w:line="276" w:lineRule="auto"/>
        <w:rPr>
          <w:rFonts w:ascii="Times New Roman" w:cs="Times New Roman" w:eastAsia="Times New Roman" w:hAnsi="Times New Roman"/>
          <w:sz w:val="24"/>
          <w:szCs w:val="24"/>
        </w:rPr>
      </w:pPr>
      <w:r w:rsidDel="00000000" w:rsidR="00000000" w:rsidRPr="00000000">
        <w:rPr>
          <w:rtl w:val="0"/>
        </w:rPr>
        <w:t xml:space="preserve">These contrasts do not by themselves prove Islam; their function is narrower: they illustrate what it means for the Qur’an to claim Furqān. It presents itself as a criterion that preserves the Abrahamic baseline, corrects drift, and restores prophetic dignity - precisely the kind of corrective posture one would expect if guidance is renewed after institutional rupture.</w:t>
      </w:r>
      <w:r w:rsidDel="00000000" w:rsidR="00000000" w:rsidRPr="00000000">
        <w:rPr>
          <w:rtl w:val="0"/>
        </w:rPr>
      </w:r>
    </w:p>
    <w:p w:rsidR="00000000" w:rsidDel="00000000" w:rsidP="00000000" w:rsidRDefault="00000000" w:rsidRPr="00000000" w14:paraId="000000AD">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Preservation of Revelation: Community, Authority, and the Survival of Guidance</w:t>
      </w:r>
      <w:r w:rsidDel="00000000" w:rsidR="00000000" w:rsidRPr="00000000">
        <w:rPr>
          <w:rtl w:val="0"/>
        </w:rPr>
      </w:r>
    </w:p>
    <w:p w:rsidR="00000000" w:rsidDel="00000000" w:rsidP="00000000" w:rsidRDefault="00000000" w:rsidRPr="00000000" w14:paraId="000000AE">
      <w:pPr>
        <w:spacing w:after="120" w:line="276" w:lineRule="auto"/>
        <w:rPr>
          <w:rFonts w:ascii="Times New Roman" w:cs="Times New Roman" w:eastAsia="Times New Roman" w:hAnsi="Times New Roman"/>
          <w:sz w:val="24"/>
          <w:szCs w:val="24"/>
        </w:rPr>
      </w:pPr>
      <w:r w:rsidDel="00000000" w:rsidR="00000000" w:rsidRPr="00000000">
        <w:rPr>
          <w:rtl w:val="0"/>
        </w:rPr>
        <w:t xml:space="preserve">The claim that Islam functions as a post-Temple restoration also requires attention to how revelation is preserved across time. A criterion is not meaningful if the guidance it clarifies cannot be reliably transmitted. For this reason, the Qur’an’s self-presentation is inseparable from the communal and structural mechanisms through which it is preserved. When examined comparatively, three different models emerge: Israel’s preservation of the Torah, Christianity’s transmission of the New Testament, and Islam’s preservation of the Qur’an and prophetic practice. The differences are not just theological; they are structural, and they shape how each community survives historical rupture.</w:t>
      </w:r>
      <w:r w:rsidDel="00000000" w:rsidR="00000000" w:rsidRPr="00000000">
        <w:rPr>
          <w:rtl w:val="0"/>
        </w:rPr>
      </w:r>
    </w:p>
    <w:p w:rsidR="00000000" w:rsidDel="00000000" w:rsidP="00000000" w:rsidRDefault="00000000" w:rsidRPr="00000000" w14:paraId="000000AF">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the case of Israel, preservation of scripture is inseparable from peoplehood, lineage, and law. The Torah is preserved through a covenantal community bound by ethnic continuity, ritual observance, and legal transmission. After the destruction of the First and Second Temples, rabbinic Judaism successfully reoriented religious life around study, prayer, and legal reasoning. This adaptation is historically remarkable and deserves acknowledgment: Judaism preserved monotheism and scripture without a sanctuary, priesthood, or sacrifice.</w:t>
      </w:r>
      <w:r w:rsidDel="00000000" w:rsidR="00000000" w:rsidRPr="00000000">
        <w:rPr>
          <w:rtl w:val="0"/>
        </w:rPr>
      </w:r>
    </w:p>
    <w:p w:rsidR="00000000" w:rsidDel="00000000" w:rsidP="00000000" w:rsidRDefault="00000000" w:rsidRPr="00000000" w14:paraId="000000B0">
      <w:pPr>
        <w:spacing w:after="120" w:line="276" w:lineRule="auto"/>
        <w:rPr>
          <w:rFonts w:ascii="Times New Roman" w:cs="Times New Roman" w:eastAsia="Times New Roman" w:hAnsi="Times New Roman"/>
          <w:sz w:val="24"/>
          <w:szCs w:val="24"/>
        </w:rPr>
      </w:pPr>
      <w:r w:rsidDel="00000000" w:rsidR="00000000" w:rsidRPr="00000000">
        <w:rPr>
          <w:rtl w:val="0"/>
        </w:rPr>
        <w:t xml:space="preserve">Christianity emerges under different conditions. The New Testament is not a single recited revelation, but a collection of writings produced over decades: Gospels, letters, sermons, and theological reflections. These texts are preserved through communities rather than a single custodial mechanism, and authority develops over time through ecclesial structures, councils, and interpretive traditions. This model enables global expansion, but it also produces doctrinal plurality, since unity depends heavily on later theological harmonization rather than on a single recited corpus and a unified, preserved worship-law pattern.</w:t>
      </w:r>
      <w:r w:rsidDel="00000000" w:rsidR="00000000" w:rsidRPr="00000000">
        <w:rPr>
          <w:rtl w:val="0"/>
        </w:rPr>
      </w:r>
    </w:p>
    <w:p w:rsidR="00000000" w:rsidDel="00000000" w:rsidP="00000000" w:rsidRDefault="00000000" w:rsidRPr="00000000" w14:paraId="000000B1">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presents a third model. The Qur’an claims to be recited revelation delivered publicly, memorized communally, and preserved through mass transmission. Its preservation does not depend on lineage, priesthood, or later councils, but on a living community that recites the same text in the same language across geography and generations. The Qur’an frames this preservation as intentional:</w:t>
      </w:r>
      <w:r w:rsidDel="00000000" w:rsidR="00000000" w:rsidRPr="00000000">
        <w:rPr>
          <w:rtl w:val="0"/>
        </w:rPr>
      </w:r>
    </w:p>
    <w:p w:rsidR="00000000" w:rsidDel="00000000" w:rsidP="00000000" w:rsidRDefault="00000000" w:rsidRPr="00000000" w14:paraId="000000B2">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Islamic history includes conflict and disagreement, and Islamic scholarship contains real debates—including careful disputes over hadith grading and legal reasoning. The claim here is narrower: that the Qur’an’s recited text and the shared worship pattern anchored in it have been preserved with unusual stability across geography and generations.</w:t>
      </w:r>
      <w:r w:rsidDel="00000000" w:rsidR="00000000" w:rsidRPr="00000000">
        <w:rPr>
          <w:rtl w:val="0"/>
        </w:rPr>
      </w:r>
    </w:p>
    <w:p w:rsidR="00000000" w:rsidDel="00000000" w:rsidP="00000000" w:rsidRDefault="00000000" w:rsidRPr="00000000" w14:paraId="000000B3">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“Indeed, We have sent down the Reminder, and indeed, We will surely preserve it.” (Qur’an 15:9)</w:t>
      </w:r>
      <w:r w:rsidDel="00000000" w:rsidR="00000000" w:rsidRPr="00000000">
        <w:rPr>
          <w:rtl w:val="0"/>
        </w:rPr>
      </w:r>
    </w:p>
    <w:p w:rsidR="00000000" w:rsidDel="00000000" w:rsidP="00000000" w:rsidRDefault="00000000" w:rsidRPr="00000000" w14:paraId="000000B4">
      <w:pPr>
        <w:spacing w:after="120" w:line="276" w:lineRule="auto"/>
        <w:rPr>
          <w:rFonts w:ascii="Times New Roman" w:cs="Times New Roman" w:eastAsia="Times New Roman" w:hAnsi="Times New Roman"/>
          <w:sz w:val="24"/>
          <w:szCs w:val="24"/>
        </w:rPr>
      </w:pPr>
      <w:r w:rsidDel="00000000" w:rsidR="00000000" w:rsidRPr="00000000">
        <w:rPr>
          <w:rtl w:val="0"/>
        </w:rPr>
        <w:t xml:space="preserve">Crucially, this preserved recitation is paired with the Sunnah—the Prophet’s public teaching and enacted worship—which functions as the practical exposition of revelation. Together, Qur’an and Sunnah form a complete worship-law life that is portable, public, and repeatable without reliance on a physical sanctuary. In the logic of this study, preservation is therefore not a secondary concern; it is part of the continuity test. If God intended guidance to persist beyond the Temple, that guidance would need to be accessible, resistant to fragmentation, and capable of governing worship and moral life without a cultic center. Islam’s preservation claim speaks directly to those requirements.</w:t>
      </w:r>
      <w:r w:rsidDel="00000000" w:rsidR="00000000" w:rsidRPr="00000000">
        <w:rPr>
          <w:rtl w:val="0"/>
        </w:rPr>
      </w:r>
    </w:p>
    <w:p w:rsidR="00000000" w:rsidDel="00000000" w:rsidP="00000000" w:rsidRDefault="00000000" w:rsidRPr="00000000" w14:paraId="000000B5">
      <w:pPr>
        <w:spacing w:after="120" w:line="276" w:lineRule="auto"/>
        <w:rPr>
          <w:rFonts w:ascii="Times New Roman" w:cs="Times New Roman" w:eastAsia="Times New Roman" w:hAnsi="Times New Roman"/>
          <w:sz w:val="24"/>
          <w:szCs w:val="24"/>
        </w:rPr>
      </w:pPr>
      <w:r w:rsidDel="00000000" w:rsidR="00000000" w:rsidRPr="00000000">
        <w:rPr>
          <w:rtl w:val="0"/>
        </w:rPr>
        <w:t xml:space="preserve">What follows from this point is not a triumphalist claim that one community is morally superior to others. It is a structural observation about what post-rupture guidance must look like if it is to function as a genuine continuation of prophetic religion. If the Temple’s cultic mechanism is no longer operable, and if guidance is to remain accessible to the nations without collapsing into diffuse authority, then revelation must be publicly transmissible, resistant to doctrinal fragmentation, and capable of generating a complete worship–law life without dependence on priesthood, sanctuary, or altar. This is precisely how Islam frames its own authority: a preserved recited revelation paired with a preserved prophetic practice.</w:t>
      </w:r>
      <w:r w:rsidDel="00000000" w:rsidR="00000000" w:rsidRPr="00000000">
        <w:rPr>
          <w:rtl w:val="0"/>
        </w:rPr>
      </w:r>
    </w:p>
    <w:p w:rsidR="00000000" w:rsidDel="00000000" w:rsidP="00000000" w:rsidRDefault="00000000" w:rsidRPr="00000000" w14:paraId="000000B6">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Qur’an and Sunnah: The Operative Sources of Post-Temple Guidance</w:t>
      </w:r>
      <w:r w:rsidDel="00000000" w:rsidR="00000000" w:rsidRPr="00000000">
        <w:rPr>
          <w:rtl w:val="0"/>
        </w:rPr>
      </w:r>
    </w:p>
    <w:p w:rsidR="00000000" w:rsidDel="00000000" w:rsidP="00000000" w:rsidRDefault="00000000" w:rsidRPr="00000000" w14:paraId="000000B7">
      <w:pPr>
        <w:spacing w:after="120" w:line="276" w:lineRule="auto"/>
        <w:rPr>
          <w:rFonts w:ascii="Times New Roman" w:cs="Times New Roman" w:eastAsia="Times New Roman" w:hAnsi="Times New Roman"/>
          <w:sz w:val="24"/>
          <w:szCs w:val="24"/>
        </w:rPr>
      </w:pPr>
      <w:r w:rsidDel="00000000" w:rsidR="00000000" w:rsidRPr="00000000">
        <w:rPr>
          <w:rtl w:val="0"/>
        </w:rPr>
        <w:t xml:space="preserve">If the Temple’s sacrificial mechanism is no longer operable, a continued Abrahamic religion must specify by what authority worship and obedience are governed, and how that authority remains stable across generations and geography.</w:t>
      </w:r>
      <w:r w:rsidDel="00000000" w:rsidR="00000000" w:rsidRPr="00000000">
        <w:rPr>
          <w:rtl w:val="0"/>
        </w:rPr>
      </w:r>
    </w:p>
    <w:p w:rsidR="00000000" w:rsidDel="00000000" w:rsidP="00000000" w:rsidRDefault="00000000" w:rsidRPr="00000000" w14:paraId="000000B8">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denies that Muhammad is offering personal theological construction and frames its message as delivered speech:</w:t>
      </w:r>
      <w:r w:rsidDel="00000000" w:rsidR="00000000" w:rsidRPr="00000000">
        <w:rPr>
          <w:rtl w:val="0"/>
        </w:rPr>
      </w:r>
    </w:p>
    <w:p w:rsidR="00000000" w:rsidDel="00000000" w:rsidP="00000000" w:rsidRDefault="00000000" w:rsidRPr="00000000" w14:paraId="000000B9">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this model, authority is not deferred to later councils or sustained by speculative replacement of an inoperable mechanism. It is front-loaded into publicly recited scripture and publicly observed prophetic practice—precisely the kind of structure a post-Temple continuation would require.</w:t>
      </w:r>
      <w:r w:rsidDel="00000000" w:rsidR="00000000" w:rsidRPr="00000000">
        <w:rPr>
          <w:rtl w:val="0"/>
        </w:rPr>
      </w:r>
    </w:p>
    <w:p w:rsidR="00000000" w:rsidDel="00000000" w:rsidP="00000000" w:rsidRDefault="00000000" w:rsidRPr="00000000" w14:paraId="000000BA">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The Six Articles of Faith: The Baseline Worldview Islam Restores</w:t>
      </w:r>
      <w:r w:rsidDel="00000000" w:rsidR="00000000" w:rsidRPr="00000000">
        <w:rPr>
          <w:rtl w:val="0"/>
        </w:rPr>
      </w:r>
    </w:p>
    <w:p w:rsidR="00000000" w:rsidDel="00000000" w:rsidP="00000000" w:rsidRDefault="00000000" w:rsidRPr="00000000" w14:paraId="000000BB">
      <w:pPr>
        <w:spacing w:after="120" w:line="276" w:lineRule="auto"/>
        <w:rPr>
          <w:rFonts w:ascii="Times New Roman" w:cs="Times New Roman" w:eastAsia="Times New Roman" w:hAnsi="Times New Roman"/>
          <w:sz w:val="24"/>
          <w:szCs w:val="24"/>
        </w:rPr>
      </w:pPr>
      <w:r w:rsidDel="00000000" w:rsidR="00000000" w:rsidRPr="00000000">
        <w:rPr>
          <w:rtl w:val="0"/>
        </w:rPr>
        <w:t xml:space="preserve">To avoid confusion created by modern caricatures, It helps to state Islam’s faith-claims plainly. Islam is not primarily a cultural identity or a political program; it is a creed and worship-life centered on the God of Abraham. The classical summary of Islamic belief is the six articles of faith, which function as the worldview within which Islam’s worship and law make sense.</w:t>
      </w:r>
      <w:r w:rsidDel="00000000" w:rsidR="00000000" w:rsidRPr="00000000">
        <w:rPr>
          <w:rtl w:val="0"/>
        </w:rPr>
      </w:r>
    </w:p>
    <w:p w:rsidR="00000000" w:rsidDel="00000000" w:rsidP="00000000" w:rsidRDefault="00000000" w:rsidRPr="00000000" w14:paraId="000000BC">
      <w:pPr>
        <w:spacing w:after="120" w:line="276" w:lineRule="auto"/>
        <w:rPr>
          <w:rFonts w:ascii="Times New Roman" w:cs="Times New Roman" w:eastAsia="Times New Roman" w:hAnsi="Times New Roman"/>
          <w:sz w:val="24"/>
          <w:szCs w:val="24"/>
        </w:rPr>
      </w:pPr>
      <w:r w:rsidDel="00000000" w:rsidR="00000000" w:rsidRPr="00000000">
        <w:rPr>
          <w:rtl w:val="0"/>
        </w:rPr>
        <w:t xml:space="preserve">Muslims believe in God (Allah), the angels, the revealed books, the messengers, the Last Day, and divine decree (qadar). These commitments place Islam firmly within the baseline category of prophetic monotheism: God alone is worshiped; prophets guide rather than replace God; repentance and obedience remain central; and final accountability gives moral seriousness to worship and law.</w:t>
      </w:r>
      <w:r w:rsidDel="00000000" w:rsidR="00000000" w:rsidRPr="00000000">
        <w:rPr>
          <w:rtl w:val="0"/>
        </w:rPr>
      </w:r>
    </w:p>
    <w:p w:rsidR="00000000" w:rsidDel="00000000" w:rsidP="00000000" w:rsidRDefault="00000000" w:rsidRPr="00000000" w14:paraId="000000BD">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Adam, Angels, and Moral Responsibility</w:t>
      </w:r>
      <w:r w:rsidDel="00000000" w:rsidR="00000000" w:rsidRPr="00000000">
        <w:rPr>
          <w:rtl w:val="0"/>
        </w:rPr>
      </w:r>
    </w:p>
    <w:p w:rsidR="00000000" w:rsidDel="00000000" w:rsidP="00000000" w:rsidRDefault="00000000" w:rsidRPr="00000000" w14:paraId="000000BE">
      <w:pPr>
        <w:spacing w:after="120" w:line="276" w:lineRule="auto"/>
        <w:rPr>
          <w:rFonts w:ascii="Times New Roman" w:cs="Times New Roman" w:eastAsia="Times New Roman" w:hAnsi="Times New Roman"/>
          <w:sz w:val="24"/>
          <w:szCs w:val="24"/>
        </w:rPr>
      </w:pPr>
      <w:r w:rsidDel="00000000" w:rsidR="00000000" w:rsidRPr="00000000">
        <w:rPr>
          <w:rtl w:val="0"/>
        </w:rPr>
        <w:t xml:space="preserve">“They said, ‘Our Lord, we have wronged ourselves, and if You do not forgive us and have mercy upon us, we will surely be among the losers.’” (Qur’an 7:23, Sahih International)</w:t>
      </w:r>
      <w:r w:rsidDel="00000000" w:rsidR="00000000" w:rsidRPr="00000000">
        <w:rPr>
          <w:rtl w:val="0"/>
        </w:rPr>
      </w:r>
    </w:p>
    <w:p w:rsidR="00000000" w:rsidDel="00000000" w:rsidP="00000000" w:rsidRDefault="00000000" w:rsidRPr="00000000" w14:paraId="000000BF">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aligns with the Bible’s repeated insistence on personal accountability rather than inherited condemnation. It also matters for the post-Temple question: Islam rejects the idea that atonement must be transferred from a destroyed Temple to the execution of a prophet. Repentance, obedience, and God’s mercy remain the means by which sins are forgiven, consistent with the prophetic emphasis on return to God.</w:t>
      </w:r>
      <w:r w:rsidDel="00000000" w:rsidR="00000000" w:rsidRPr="00000000">
        <w:rPr>
          <w:rtl w:val="0"/>
        </w:rPr>
      </w:r>
    </w:p>
    <w:p w:rsidR="00000000" w:rsidDel="00000000" w:rsidP="00000000" w:rsidRDefault="00000000" w:rsidRPr="00000000" w14:paraId="000000C0">
      <w:pPr>
        <w:spacing w:after="120" w:line="276" w:lineRule="auto"/>
        <w:rPr>
          <w:rFonts w:ascii="Times New Roman" w:cs="Times New Roman" w:eastAsia="Times New Roman" w:hAnsi="Times New Roman"/>
          <w:sz w:val="24"/>
          <w:szCs w:val="24"/>
        </w:rPr>
      </w:pPr>
      <w:r w:rsidDel="00000000" w:rsidR="00000000" w:rsidRPr="00000000">
        <w:rPr>
          <w:rtl w:val="0"/>
        </w:rPr>
        <w:t xml:space="preserve">“O you who have believed, protect yourselves and your families from a Fire whose fuel is people and stones, over which are [appointed] angels, harsh and severe; they do not disobey Allah in what He commands them but do what they are commanded.” (Qur’an 66:6, Sahih International)</w:t>
      </w:r>
      <w:r w:rsidDel="00000000" w:rsidR="00000000" w:rsidRPr="00000000">
        <w:rPr>
          <w:rtl w:val="0"/>
        </w:rPr>
      </w:r>
    </w:p>
    <w:p w:rsidR="00000000" w:rsidDel="00000000" w:rsidP="00000000" w:rsidRDefault="00000000" w:rsidRPr="00000000" w14:paraId="000000C1">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this view, evil is attributed to moral agents who choose disobedience, not to a metaphysical flaw introduced at creation. That keeps accountability personal and repentance meaningful, aligning with the prophetic emphasis on return to God rather than inherited corruption.</w:t>
      </w:r>
      <w:r w:rsidDel="00000000" w:rsidR="00000000" w:rsidRPr="00000000">
        <w:rPr>
          <w:rtl w:val="0"/>
        </w:rPr>
      </w:r>
    </w:p>
    <w:p w:rsidR="00000000" w:rsidDel="00000000" w:rsidP="00000000" w:rsidRDefault="00000000" w:rsidRPr="00000000" w14:paraId="000000C2">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The Five Pillars: A Portable Worship–Law Engine After Rupture</w:t>
      </w:r>
      <w:r w:rsidDel="00000000" w:rsidR="00000000" w:rsidRPr="00000000">
        <w:rPr>
          <w:rtl w:val="0"/>
        </w:rPr>
      </w:r>
    </w:p>
    <w:p w:rsidR="00000000" w:rsidDel="00000000" w:rsidP="00000000" w:rsidRDefault="00000000" w:rsidRPr="00000000" w14:paraId="000000C3">
      <w:pPr>
        <w:spacing w:after="120" w:line="276" w:lineRule="auto"/>
        <w:rPr>
          <w:rFonts w:ascii="Times New Roman" w:cs="Times New Roman" w:eastAsia="Times New Roman" w:hAnsi="Times New Roman"/>
          <w:sz w:val="24"/>
          <w:szCs w:val="24"/>
        </w:rPr>
      </w:pPr>
      <w:r w:rsidDel="00000000" w:rsidR="00000000" w:rsidRPr="00000000">
        <w:rPr>
          <w:rtl w:val="0"/>
        </w:rPr>
        <w:t xml:space="preserve">If the six articles are the worldview, the five pillars are the enacted pattern. They show how Islam functions as a complete Abrahamic worship-life without dependence on a sanctuary cult. The pillars are not just private spirituality; they are embodied monotheism repeated in public time.</w:t>
      </w:r>
      <w:r w:rsidDel="00000000" w:rsidR="00000000" w:rsidRPr="00000000">
        <w:rPr>
          <w:rtl w:val="0"/>
        </w:rPr>
      </w:r>
    </w:p>
    <w:p w:rsidR="00000000" w:rsidDel="00000000" w:rsidP="00000000" w:rsidRDefault="00000000" w:rsidRPr="00000000" w14:paraId="000000C4">
      <w:pPr>
        <w:spacing w:after="120" w:line="276" w:lineRule="auto"/>
        <w:rPr>
          <w:rFonts w:ascii="Times New Roman" w:cs="Times New Roman" w:eastAsia="Times New Roman" w:hAnsi="Times New Roman"/>
          <w:sz w:val="24"/>
          <w:szCs w:val="24"/>
        </w:rPr>
      </w:pPr>
      <w:r w:rsidDel="00000000" w:rsidR="00000000" w:rsidRPr="00000000">
        <w:rPr>
          <w:rtl w:val="0"/>
        </w:rPr>
        <w:t xml:space="preserve">The testimony (shahādah) establishes the worship boundary: there is no god but God and Muhammad is His messenger. The formal prayer (ṣalāh) structures daily devotion. Obligatory charity (zakāh) binds worship to justice. Fasting in Ramadan (ṣawm) forms restraint and repentance. Pilgrimage (ḥajj) gathers the community around Abrahamic memory without making ongoing religion dependent on a single cultic mechanism.</w:t>
      </w:r>
      <w:r w:rsidDel="00000000" w:rsidR="00000000" w:rsidRPr="00000000">
        <w:rPr>
          <w:rtl w:val="0"/>
        </w:rPr>
      </w:r>
    </w:p>
    <w:p w:rsidR="00000000" w:rsidDel="00000000" w:rsidP="00000000" w:rsidRDefault="00000000" w:rsidRPr="00000000" w14:paraId="000000C5">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prepares the essay’s definition of fruit. If fruit is not empire or material success but the restoration of embodied monotheistic worship, then a worship-life that produces sustained repentance, obedience, and daily devotion becomes a relevant metric.</w:t>
      </w:r>
      <w:r w:rsidDel="00000000" w:rsidR="00000000" w:rsidRPr="00000000">
        <w:rPr>
          <w:rtl w:val="0"/>
        </w:rPr>
      </w:r>
    </w:p>
    <w:p w:rsidR="00000000" w:rsidDel="00000000" w:rsidP="00000000" w:rsidRDefault="00000000" w:rsidRPr="00000000" w14:paraId="000000C6">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Engines Compared: Three Post-Rupture Paths for Abrahamic Continuity</w:t>
      </w:r>
      <w:r w:rsidDel="00000000" w:rsidR="00000000" w:rsidRPr="00000000">
        <w:rPr>
          <w:rtl w:val="0"/>
        </w:rPr>
      </w:r>
    </w:p>
    <w:p w:rsidR="00000000" w:rsidDel="00000000" w:rsidP="00000000" w:rsidRDefault="00000000" w:rsidRPr="00000000" w14:paraId="000000C7">
      <w:pPr>
        <w:spacing w:after="120" w:line="276" w:lineRule="auto"/>
        <w:rPr>
          <w:rFonts w:ascii="Times New Roman" w:cs="Times New Roman" w:eastAsia="Times New Roman" w:hAnsi="Times New Roman"/>
          <w:sz w:val="24"/>
          <w:szCs w:val="24"/>
        </w:rPr>
      </w:pPr>
      <w:r w:rsidDel="00000000" w:rsidR="00000000" w:rsidRPr="00000000">
        <w:rPr>
          <w:rtl w:val="0"/>
        </w:rPr>
        <w:t xml:space="preserve">With the Temple destroyed and the altar system no longer operable, continuity did not end; it reorganized. The relevant structural question is what kind of religious engine can carry Abrahamic monotheism forward when the sanctuary cult is unavailable</w:t>
      </w:r>
      <w:r w:rsidDel="00000000" w:rsidR="00000000" w:rsidRPr="00000000">
        <w:rPr>
          <w:rtl w:val="0"/>
        </w:rPr>
      </w:r>
    </w:p>
    <w:p w:rsidR="00000000" w:rsidDel="00000000" w:rsidP="00000000" w:rsidRDefault="00000000" w:rsidRPr="00000000" w14:paraId="000000C8">
      <w:pPr>
        <w:spacing w:after="120" w:line="276" w:lineRule="auto"/>
        <w:rPr>
          <w:rFonts w:ascii="Times New Roman" w:cs="Times New Roman" w:eastAsia="Times New Roman" w:hAnsi="Times New Roman"/>
          <w:sz w:val="24"/>
          <w:szCs w:val="24"/>
        </w:rPr>
      </w:pPr>
      <w:r w:rsidDel="00000000" w:rsidR="00000000" w:rsidRPr="00000000">
        <w:rPr>
          <w:rtl w:val="0"/>
        </w:rPr>
        <w:t xml:space="preserve">Ishmael, Sinai–Seir–Paran, and the Public Test of Future Roles</w:t>
      </w:r>
      <w:r w:rsidDel="00000000" w:rsidR="00000000" w:rsidRPr="00000000">
        <w:rPr>
          <w:rtl w:val="0"/>
        </w:rPr>
      </w:r>
    </w:p>
    <w:p w:rsidR="00000000" w:rsidDel="00000000" w:rsidP="00000000" w:rsidRDefault="00000000" w:rsidRPr="00000000" w14:paraId="000000C9">
      <w:pPr>
        <w:spacing w:after="120" w:line="276" w:lineRule="auto"/>
        <w:rPr>
          <w:rFonts w:ascii="Times New Roman" w:cs="Times New Roman" w:eastAsia="Times New Roman" w:hAnsi="Times New Roman"/>
          <w:sz w:val="24"/>
          <w:szCs w:val="24"/>
        </w:rPr>
      </w:pPr>
      <w:r w:rsidDel="00000000" w:rsidR="00000000" w:rsidRPr="00000000">
        <w:rPr>
          <w:rtl w:val="0"/>
        </w:rPr>
        <w:t xml:space="preserve">With Jesus’ baseline established, the next question is not “where is Paran on a modern map,” but whether Scripture itself permits future guidance to widen beyond one locus and one lineage—especially when history makes the older mechanism inoperable. This is where Ishmael’s promised nationhood and the Sinai–Seir–Paran theophany arc belong: not as coordinate proofs, but as a textual room inside the biblical text-world, making continued nations-facing guidance intelligible rather than alien.</w:t>
      </w:r>
      <w:r w:rsidDel="00000000" w:rsidR="00000000" w:rsidRPr="00000000">
        <w:rPr>
          <w:rtl w:val="0"/>
        </w:rPr>
      </w:r>
    </w:p>
    <w:p w:rsidR="00000000" w:rsidDel="00000000" w:rsidP="00000000" w:rsidRDefault="00000000" w:rsidRPr="00000000" w14:paraId="000000CA">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point of this comparison is not insult. It is clarity. The Temple’s destruction creates an unavoidable continuity crisis. Different engines answer it differently. The essay’s claim is that Islam’s restoration model aligns more naturally with the prophetic baseline—exclusive worship, repentance, obedience, conveyed guidance, and fruit defined as worship rather than empire.</w:t>
      </w:r>
      <w:r w:rsidDel="00000000" w:rsidR="00000000" w:rsidRPr="00000000">
        <w:rPr>
          <w:rtl w:val="0"/>
        </w:rPr>
      </w:r>
    </w:p>
    <w:p w:rsidR="00000000" w:rsidDel="00000000" w:rsidP="00000000" w:rsidRDefault="00000000" w:rsidRPr="00000000" w14:paraId="000000CB">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Islam’s Stance on Jesus: Honoring the Messiah Without Redirecting Worship</w:t>
      </w:r>
      <w:r w:rsidDel="00000000" w:rsidR="00000000" w:rsidRPr="00000000">
        <w:rPr>
          <w:rtl w:val="0"/>
        </w:rPr>
      </w:r>
    </w:p>
    <w:p w:rsidR="00000000" w:rsidDel="00000000" w:rsidP="00000000" w:rsidRDefault="00000000" w:rsidRPr="00000000" w14:paraId="000000CC">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Islam’s position on Jesus is best understood as an attempt to keep him inside the prophetic baseline already established by Torah, prophets, and Jesus’ own preserved teaching: exclusive worship of the one God, repentance, and obedience. This is important because many Christian objections assume that Islam “rejects Jesus” in the sense of insulting him or minimizing his role. Islam’s claim is different. It claims to honor Jesus more consistently by refusing to turn a prophet into an object of worship, and by preserving the worship boundary that the Bible itself treats as absolute. The Torah frames the heart of the covenant as exclusive devotion:</w:t>
      </w:r>
      <w:r w:rsidDel="00000000" w:rsidR="00000000" w:rsidRPr="00000000">
        <w:rPr>
          <w:rtl w:val="0"/>
        </w:rPr>
      </w:r>
    </w:p>
    <w:p w:rsidR="00000000" w:rsidDel="00000000" w:rsidP="00000000" w:rsidRDefault="00000000" w:rsidRPr="00000000" w14:paraId="000000CD">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“Hear, O Israel: The LORD our God is one LORD:” (Deuteronomy 6:4, KJV)</w:t>
      </w:r>
      <w:r w:rsidDel="00000000" w:rsidR="00000000" w:rsidRPr="00000000">
        <w:rPr>
          <w:rtl w:val="0"/>
        </w:rPr>
      </w:r>
    </w:p>
    <w:p w:rsidR="00000000" w:rsidDel="00000000" w:rsidP="00000000" w:rsidRDefault="00000000" w:rsidRPr="00000000" w14:paraId="000000CE">
      <w:pPr>
        <w:spacing w:after="120" w:line="276" w:lineRule="auto"/>
        <w:ind w:left="360" w:firstLine="0"/>
        <w:rPr>
          <w:rFonts w:ascii="Times New Roman" w:cs="Times New Roman" w:eastAsia="Times New Roman" w:hAnsi="Times New Roman"/>
          <w:sz w:val="24"/>
          <w:szCs w:val="24"/>
        </w:rPr>
      </w:pPr>
      <w:r w:rsidDel="00000000" w:rsidR="00000000" w:rsidRPr="00000000">
        <w:rPr>
          <w:rtl w:val="0"/>
        </w:rPr>
        <w:t xml:space="preserve">“Then saith Jesus unto him, Get thee hence, Satan: for it is written, Thou shalt worship the Lord thy God, and him only shalt thou serve.” (Matthew 4:10, KJV)</w:t>
      </w:r>
      <w:r w:rsidDel="00000000" w:rsidR="00000000" w:rsidRPr="00000000">
        <w:rPr>
          <w:rtl w:val="0"/>
        </w:rPr>
      </w:r>
    </w:p>
    <w:p w:rsidR="00000000" w:rsidDel="00000000" w:rsidP="00000000" w:rsidRDefault="00000000" w:rsidRPr="00000000" w14:paraId="000000CF">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worship boundary is not a minor detail; it is the first test of prophetic religion. If stewardship transfer is judged by fruit, the most basic fruit is whom people worship, invoke, and bow to. Within that framework, Islam affirms Jesus as Messiah and messenger while denying that worship may be directed to him. Islam treats devotion as a zero-sum category at the level of worship: love, honor, and obedience to a prophet can be righteous, but worship belongs to God alone. That distinction is not a foreign invention. The Torah’s first commandment is not “respect God most”; it is exclusive. Jesus’ preserved language is likewise worship-exclusive. This is why Islam resists theological developments that blur the worship boundary by redirecting prayer, invocation, or ultimate reliance toward created beings.</w:t>
      </w:r>
      <w:r w:rsidDel="00000000" w:rsidR="00000000" w:rsidRPr="00000000">
        <w:rPr>
          <w:rtl w:val="0"/>
        </w:rPr>
      </w:r>
    </w:p>
    <w:p w:rsidR="00000000" w:rsidDel="00000000" w:rsidP="00000000" w:rsidRDefault="00000000" w:rsidRPr="00000000" w14:paraId="000000D0">
      <w:pPr>
        <w:spacing w:after="120" w:line="276" w:lineRule="auto"/>
        <w:rPr>
          <w:rFonts w:ascii="Times New Roman" w:cs="Times New Roman" w:eastAsia="Times New Roman" w:hAnsi="Times New Roman"/>
          <w:sz w:val="24"/>
          <w:szCs w:val="24"/>
        </w:rPr>
      </w:pPr>
      <w:r w:rsidDel="00000000" w:rsidR="00000000" w:rsidRPr="00000000">
        <w:rPr>
          <w:rtl w:val="0"/>
        </w:rPr>
        <w:t xml:space="preserve">If “fruit” is defined as restored monotheistic worship rather than imperial success, then Islam’s Jesus-position functions as part of that fruit: preserving exclusive devotion to the God of Abraham while honoring Jesus as a true servant and messenger within the same prophetic category.</w:t>
      </w:r>
      <w:r w:rsidDel="00000000" w:rsidR="00000000" w:rsidRPr="00000000">
        <w:rPr>
          <w:rtl w:val="0"/>
        </w:rPr>
      </w:r>
    </w:p>
    <w:p w:rsidR="00000000" w:rsidDel="00000000" w:rsidP="00000000" w:rsidRDefault="00000000" w:rsidRPr="00000000" w14:paraId="000000D1">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also affirms Jesus as Messiah without treating “Messiah” as a synonym for “God.” Within the broader biblical world, “anointed” language can describe God’s chosen agents without collapsing Creator and creature into one category. Islam’s claim is that Jesus’ messianic role is mission-defined: he is chosen and supported by God, but he remains a servant of God. This keeps the monotheistic architecture simple and continuous with the covenant’s first boundary: God is one, incomparable, and not a man; His messengers are honored but not worshiped.</w:t>
      </w:r>
      <w:r w:rsidDel="00000000" w:rsidR="00000000" w:rsidRPr="00000000">
        <w:rPr>
          <w:rtl w:val="0"/>
        </w:rPr>
      </w:r>
    </w:p>
    <w:p w:rsidR="00000000" w:rsidDel="00000000" w:rsidP="00000000" w:rsidRDefault="00000000" w:rsidRPr="00000000" w14:paraId="000000D2">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core stance-category stance is not just doctrinal tidiness; it becomes structurally important after the Temple rupture. The post-Temple crisis forces the question of how Abrahamic religion continues in an operable way. Islam claims that God restores prophetic religion as a portable worship-law engine through conveyed revelation, and it claims that honoring Jesus correctly means keeping him inside prophetic continuity rather than turning him into a new object of worship or the axis of a replacement mechanism.</w:t>
      </w:r>
      <w:r w:rsidDel="00000000" w:rsidR="00000000" w:rsidRPr="00000000">
        <w:rPr>
          <w:rtl w:val="0"/>
        </w:rPr>
      </w:r>
    </w:p>
    <w:p w:rsidR="00000000" w:rsidDel="00000000" w:rsidP="00000000" w:rsidRDefault="00000000" w:rsidRPr="00000000" w14:paraId="000000D3">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diverges from later Christian doctrine on a single, decisive point: Jesus did not die by crucifixion. The Qur’an presents this not as a marginal detail but as a correction to how the end of Jesus’ mission was later understood. The claim is not that Jesus was insignificant, but that God did not abandon a prophet to humiliation and defeat at the hands of his enemies.</w:t>
      </w:r>
      <w:r w:rsidDel="00000000" w:rsidR="00000000" w:rsidRPr="00000000">
        <w:rPr>
          <w:rtl w:val="0"/>
        </w:rPr>
      </w:r>
    </w:p>
    <w:p w:rsidR="00000000" w:rsidDel="00000000" w:rsidP="00000000" w:rsidRDefault="00000000" w:rsidRPr="00000000" w14:paraId="000000D4">
      <w:pPr>
        <w:spacing w:after="120" w:line="276" w:lineRule="auto"/>
        <w:rPr>
          <w:rFonts w:ascii="Times New Roman" w:cs="Times New Roman" w:eastAsia="Times New Roman" w:hAnsi="Times New Roman"/>
          <w:sz w:val="24"/>
          <w:szCs w:val="24"/>
        </w:rPr>
      </w:pPr>
      <w:r w:rsidDel="00000000" w:rsidR="00000000" w:rsidRPr="00000000">
        <w:rPr>
          <w:rtl w:val="0"/>
        </w:rPr>
        <w:t xml:space="preserve">“And [for] their saying, ‘Indeed, we have killed the Messiah, Jesus, the son of Mary, the messenger of Allah.’ And they did not kill him, nor did they crucify him; but [another] was made to resemble him to them. And indeed, those who differ over it are in doubt about it. They have no knowledge of it except the following of assumption. And they did not kill him, for certain. Rather, Allah raised him to Himself. And ever is Allah Exalted in Might and Wise.” (Qur’an 4:157–158, Sahih International)</w:t>
      </w:r>
      <w:r w:rsidDel="00000000" w:rsidR="00000000" w:rsidRPr="00000000">
        <w:rPr>
          <w:rtl w:val="0"/>
        </w:rPr>
      </w:r>
    </w:p>
    <w:p w:rsidR="00000000" w:rsidDel="00000000" w:rsidP="00000000" w:rsidRDefault="00000000" w:rsidRPr="00000000" w14:paraId="000000D5">
      <w:pPr>
        <w:spacing w:after="120" w:line="276" w:lineRule="auto"/>
        <w:rPr>
          <w:rFonts w:ascii="Times New Roman" w:cs="Times New Roman" w:eastAsia="Times New Roman" w:hAnsi="Times New Roman"/>
          <w:sz w:val="24"/>
          <w:szCs w:val="24"/>
        </w:rPr>
      </w:pPr>
      <w:r w:rsidDel="00000000" w:rsidR="00000000" w:rsidRPr="00000000">
        <w:rPr>
          <w:rtl w:val="0"/>
        </w:rPr>
        <w:t xml:space="preserve">In the Islamic telling, Jesus is vindicated rather than sacrificed. This preserves a prophetic pattern already visible in earlier Scripture, where God delivers His messengers and judges their enemies, rather than turning a messenger’s execution into the new altar of atonement.</w:t>
      </w:r>
      <w:r w:rsidDel="00000000" w:rsidR="00000000" w:rsidRPr="00000000">
        <w:rPr>
          <w:rtl w:val="0"/>
        </w:rPr>
      </w:r>
    </w:p>
    <w:p w:rsidR="00000000" w:rsidDel="00000000" w:rsidP="00000000" w:rsidRDefault="00000000" w:rsidRPr="00000000" w14:paraId="000000D6">
      <w:pPr>
        <w:pStyle w:val="Heading2"/>
        <w:spacing w:after="80" w:before="200" w:line="276" w:lineRule="auto"/>
        <w:rPr>
          <w:rFonts w:ascii="Times New Roman" w:cs="Times New Roman" w:eastAsia="Times New Roman" w:hAnsi="Times New Roman"/>
          <w:b w:val="1"/>
          <w:bCs w:val="1"/>
          <w:color w:val="4f81bd"/>
          <w:sz w:val="24"/>
          <w:szCs w:val="24"/>
        </w:rPr>
      </w:pPr>
      <w:r w:rsidDel="00000000" w:rsidR="00000000" w:rsidRPr="00000000">
        <w:rPr>
          <w:rtl w:val="0"/>
        </w:rPr>
        <w:t xml:space="preserve">Public Role-Identification as Scriptural Expectation</w:t>
      </w:r>
      <w:r w:rsidDel="00000000" w:rsidR="00000000" w:rsidRPr="00000000">
        <w:rPr>
          <w:rtl w:val="0"/>
        </w:rPr>
      </w:r>
    </w:p>
    <w:p w:rsidR="00000000" w:rsidDel="00000000" w:rsidP="00000000" w:rsidRDefault="00000000" w:rsidRPr="00000000" w14:paraId="000000D7">
      <w:pPr>
        <w:spacing w:after="120" w:line="276" w:lineRule="auto"/>
        <w:rPr>
          <w:rFonts w:ascii="Times New Roman" w:cs="Times New Roman" w:eastAsia="Times New Roman" w:hAnsi="Times New Roman"/>
          <w:sz w:val="24"/>
          <w:szCs w:val="24"/>
        </w:rPr>
      </w:pPr>
      <w:r w:rsidDel="00000000" w:rsidR="00000000" w:rsidRPr="00000000">
        <w:rPr>
          <w:rtl w:val="0"/>
        </w:rPr>
        <w:t xml:space="preserve">(Elijah/John as context only, KJV) The New Testament itself shows that people expected future roles to be identified publicly and debated in recognizable categories. When John the Baptist is questioned, he is asked multiple role-questions—“Are you the Christ?” “Are you Elijah?”</w:t>
      </w:r>
      <w:r w:rsidDel="00000000" w:rsidR="00000000" w:rsidRPr="00000000">
        <w:rPr>
          <w:rtl w:val="0"/>
        </w:rPr>
      </w:r>
    </w:p>
    <w:p w:rsidR="00000000" w:rsidDel="00000000" w:rsidP="00000000" w:rsidRDefault="00000000" w:rsidRPr="00000000" w14:paraId="000000D8">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“Are you the Prophet?” (John 1:19–21, KJV)</w:t>
      </w:r>
      <w:r w:rsidDel="00000000" w:rsidR="00000000" w:rsidRPr="00000000">
        <w:rPr>
          <w:rtl w:val="0"/>
        </w:rPr>
      </w:r>
    </w:p>
    <w:p w:rsidR="00000000" w:rsidDel="00000000" w:rsidP="00000000" w:rsidRDefault="00000000" w:rsidRPr="00000000" w14:paraId="000000D9">
      <w:pPr>
        <w:spacing w:after="120" w:line="276" w:lineRule="auto"/>
        <w:ind w:left="360" w:firstLine="0"/>
        <w:rPr>
          <w:rFonts w:ascii="Times New Roman" w:cs="Times New Roman" w:eastAsia="Times New Roman" w:hAnsi="Times New Roman"/>
          <w:sz w:val="24"/>
          <w:szCs w:val="24"/>
        </w:rPr>
      </w:pPr>
      <w:r w:rsidDel="00000000" w:rsidR="00000000" w:rsidRPr="00000000">
        <w:rPr>
          <w:rtl w:val="0"/>
        </w:rPr>
        <w:t xml:space="preserve">“The LORD came from Sinai, and rose up from Seir unto them; he shined forth from mount Paran, and he came with ten thousands of saints: from his right hand went a fiery law for them.” (Deuteronomy 33:2, KJV)</w:t>
      </w:r>
      <w:r w:rsidDel="00000000" w:rsidR="00000000" w:rsidRPr="00000000">
        <w:rPr>
          <w:rtl w:val="0"/>
        </w:rPr>
      </w:r>
    </w:p>
    <w:p w:rsidR="00000000" w:rsidDel="00000000" w:rsidP="00000000" w:rsidRDefault="00000000" w:rsidRPr="00000000" w14:paraId="000000DA">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Ishmael’s Promise: Plausibility, Not Bloodline Salvation</w:t>
      </w:r>
      <w:r w:rsidDel="00000000" w:rsidR="00000000" w:rsidRPr="00000000">
        <w:rPr>
          <w:rtl w:val="0"/>
        </w:rPr>
      </w:r>
    </w:p>
    <w:p w:rsidR="00000000" w:rsidDel="00000000" w:rsidP="00000000" w:rsidRDefault="00000000" w:rsidRPr="00000000" w14:paraId="000000DB">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“And as for Ishmael, I have heard thee: Behold, I have blessed him, and will make him fruitful, and will multiply him exceedingly; twelve princes shall he beget, and I will make him a great nation.” (Genesis 17:20, KJV)</w:t>
      </w:r>
      <w:r w:rsidDel="00000000" w:rsidR="00000000" w:rsidRPr="00000000">
        <w:rPr>
          <w:rtl w:val="0"/>
        </w:rPr>
      </w:r>
    </w:p>
    <w:p w:rsidR="00000000" w:rsidDel="00000000" w:rsidP="00000000" w:rsidRDefault="00000000" w:rsidRPr="00000000" w14:paraId="000000DC">
      <w:pPr>
        <w:spacing w:after="120" w:line="276" w:lineRule="auto"/>
        <w:rPr>
          <w:rFonts w:ascii="Times New Roman" w:cs="Times New Roman" w:eastAsia="Times New Roman" w:hAnsi="Times New Roman"/>
          <w:sz w:val="24"/>
          <w:szCs w:val="24"/>
        </w:rPr>
      </w:pPr>
      <w:r w:rsidDel="00000000" w:rsidR="00000000" w:rsidRPr="00000000">
        <w:rPr>
          <w:rtl w:val="0"/>
        </w:rPr>
        <w:t xml:space="preserve">And again,</w:t>
      </w:r>
      <w:r w:rsidDel="00000000" w:rsidR="00000000" w:rsidRPr="00000000">
        <w:rPr>
          <w:rtl w:val="0"/>
        </w:rPr>
      </w:r>
    </w:p>
    <w:p w:rsidR="00000000" w:rsidDel="00000000" w:rsidP="00000000" w:rsidRDefault="00000000" w:rsidRPr="00000000" w14:paraId="000000DD">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 will make a nation of him also, because he is your offspring” (Genesis 21:13, KJV)</w:t>
      </w:r>
      <w:r w:rsidDel="00000000" w:rsidR="00000000" w:rsidRPr="00000000">
        <w:rPr>
          <w:rtl w:val="0"/>
        </w:rPr>
      </w:r>
    </w:p>
    <w:p w:rsidR="00000000" w:rsidDel="00000000" w:rsidP="00000000" w:rsidRDefault="00000000" w:rsidRPr="00000000" w14:paraId="000000DE">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is not “salvation by lineage.” It is covenant history making room for an Abraham-connected widening horizon. In a post-Temple</w:t>
      </w:r>
      <w:r w:rsidDel="00000000" w:rsidR="00000000" w:rsidRPr="00000000">
        <w:rPr>
          <w:rtl w:val="0"/>
        </w:rPr>
      </w:r>
    </w:p>
    <w:p w:rsidR="00000000" w:rsidDel="00000000" w:rsidP="00000000" w:rsidRDefault="00000000" w:rsidRPr="00000000" w14:paraId="000000DF">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Jesus and Muhammad in the Same Prophetic Category: A Better Baseline</w:t>
      </w:r>
      <w:r w:rsidDel="00000000" w:rsidR="00000000" w:rsidRPr="00000000">
        <w:rPr>
          <w:rtl w:val="0"/>
        </w:rPr>
      </w:r>
    </w:p>
    <w:p w:rsidR="00000000" w:rsidDel="00000000" w:rsidP="00000000" w:rsidRDefault="00000000" w:rsidRPr="00000000" w14:paraId="000000E0">
      <w:pPr>
        <w:spacing w:after="120" w:line="276" w:lineRule="auto"/>
        <w:rPr>
          <w:rFonts w:ascii="Times New Roman" w:cs="Times New Roman" w:eastAsia="Times New Roman" w:hAnsi="Times New Roman"/>
          <w:sz w:val="24"/>
          <w:szCs w:val="24"/>
        </w:rPr>
      </w:pPr>
      <w:r w:rsidDel="00000000" w:rsidR="00000000" w:rsidRPr="00000000">
        <w:rPr>
          <w:rtl w:val="0"/>
        </w:rPr>
        <w:t xml:space="preserve">He preserves worship directed to God alone:</w:t>
      </w:r>
      <w:r w:rsidDel="00000000" w:rsidR="00000000" w:rsidRPr="00000000">
        <w:rPr>
          <w:rtl w:val="0"/>
        </w:rPr>
      </w:r>
    </w:p>
    <w:p w:rsidR="00000000" w:rsidDel="00000000" w:rsidP="00000000" w:rsidRDefault="00000000" w:rsidRPr="00000000" w14:paraId="000000E1">
      <w:pPr>
        <w:spacing w:after="120" w:line="276" w:lineRule="auto"/>
        <w:rPr>
          <w:rFonts w:ascii="Times New Roman" w:cs="Times New Roman" w:eastAsia="Times New Roman" w:hAnsi="Times New Roman"/>
          <w:sz w:val="24"/>
          <w:szCs w:val="24"/>
        </w:rPr>
      </w:pPr>
      <w:r w:rsidDel="00000000" w:rsidR="00000000" w:rsidRPr="00000000">
        <w:rPr>
          <w:rtl w:val="0"/>
        </w:rPr>
        <w:t xml:space="preserve">He defines genuine religion by obedience and sincerity rather than slogans:</w:t>
      </w:r>
      <w:r w:rsidDel="00000000" w:rsidR="00000000" w:rsidRPr="00000000">
        <w:rPr>
          <w:rtl w:val="0"/>
        </w:rPr>
      </w:r>
    </w:p>
    <w:p w:rsidR="00000000" w:rsidDel="00000000" w:rsidP="00000000" w:rsidRDefault="00000000" w:rsidRPr="00000000" w14:paraId="000000E2">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he warns that religious claims can be rejected when coupled with lawlessness:</w:t>
      </w:r>
      <w:r w:rsidDel="00000000" w:rsidR="00000000" w:rsidRPr="00000000">
        <w:rPr>
          <w:rtl w:val="0"/>
        </w:rPr>
      </w:r>
    </w:p>
    <w:p w:rsidR="00000000" w:rsidDel="00000000" w:rsidP="00000000" w:rsidRDefault="00000000" w:rsidRPr="00000000" w14:paraId="000000E3">
      <w:pPr>
        <w:spacing w:after="120" w:line="276" w:lineRule="auto"/>
        <w:rPr>
          <w:rFonts w:ascii="Times New Roman" w:cs="Times New Roman" w:eastAsia="Times New Roman" w:hAnsi="Times New Roman"/>
          <w:sz w:val="24"/>
          <w:szCs w:val="24"/>
        </w:rPr>
      </w:pPr>
      <w:r w:rsidDel="00000000" w:rsidR="00000000" w:rsidRPr="00000000">
        <w:rPr>
          <w:rtl w:val="0"/>
        </w:rPr>
        <w:t xml:space="preserve">He rebukes hypocrisy in the prophetic register—</w:t>
      </w:r>
      <w:r w:rsidDel="00000000" w:rsidR="00000000" w:rsidRPr="00000000">
        <w:rPr>
          <w:rtl w:val="0"/>
        </w:rPr>
      </w:r>
    </w:p>
    <w:p w:rsidR="00000000" w:rsidDel="00000000" w:rsidP="00000000" w:rsidRDefault="00000000" w:rsidRPr="00000000" w14:paraId="000000E4">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he centers moral priorities: mercy, justice, and humility before God. When Muhammad is introduced as Islam defines him, the claim is likewise prophetic in this core stance category: conveyed revelation, public proclamation, a call to exclusive worship of the God of Abraham, and binding guidance that structures communal obedience. The Qur’an’s self-presentation is proclamation, not authorship—“Recite in the name of your Lord” (Qur’an</w:t>
      </w:r>
      <w:r w:rsidDel="00000000" w:rsidR="00000000" w:rsidRPr="00000000">
        <w:rPr>
          <w:rtl w:val="0"/>
        </w:rPr>
      </w:r>
    </w:p>
    <w:p w:rsidR="00000000" w:rsidDel="00000000" w:rsidP="00000000" w:rsidRDefault="00000000" w:rsidRPr="00000000" w14:paraId="000000E5">
      <w:pPr>
        <w:spacing w:after="120" w:line="276" w:lineRule="auto"/>
        <w:rPr>
          <w:rFonts w:ascii="Times New Roman" w:cs="Times New Roman" w:eastAsia="Times New Roman" w:hAnsi="Times New Roman"/>
          <w:sz w:val="24"/>
          <w:szCs w:val="24"/>
        </w:rPr>
      </w:pPr>
      <w:r w:rsidDel="00000000" w:rsidR="00000000" w:rsidRPr="00000000">
        <w:rPr>
          <w:rtl w:val="0"/>
        </w:rPr>
        <w:t xml:space="preserve">96:1)—and it denies that doctrine is produced from personal desire—</w:t>
      </w:r>
      <w:r w:rsidDel="00000000" w:rsidR="00000000" w:rsidRPr="00000000">
        <w:rPr>
          <w:rtl w:val="0"/>
        </w:rPr>
      </w:r>
    </w:p>
    <w:p w:rsidR="00000000" w:rsidDel="00000000" w:rsidP="00000000" w:rsidRDefault="00000000" w:rsidRPr="00000000" w14:paraId="000000E6">
      <w:pPr>
        <w:spacing w:after="120" w:line="276" w:lineRule="auto"/>
        <w:rPr>
          <w:rFonts w:ascii="Times New Roman" w:cs="Times New Roman" w:eastAsia="Times New Roman" w:hAnsi="Times New Roman"/>
          <w:sz w:val="24"/>
          <w:szCs w:val="24"/>
        </w:rPr>
      </w:pPr>
      <w:r w:rsidDel="00000000" w:rsidR="00000000" w:rsidRPr="00000000">
        <w:rPr>
          <w:rtl w:val="0"/>
        </w:rPr>
        <w:t xml:space="preserve">permission—while refusing to redirect worship away from God. That is exactly the kind of stance a reader should expect from a tradition that defines the fruit of true religion as restoring exclusive monotheistic worship.</w:t>
      </w:r>
      <w:r w:rsidDel="00000000" w:rsidR="00000000" w:rsidRPr="00000000">
        <w:rPr>
          <w:rtl w:val="0"/>
        </w:rPr>
      </w:r>
    </w:p>
    <w:p w:rsidR="00000000" w:rsidDel="00000000" w:rsidP="00000000" w:rsidRDefault="00000000" w:rsidRPr="00000000" w14:paraId="000000E7">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Abrahamic Worship Before the Post-Temple Crisis: Direct Devotion and Covenant Practice</w:t>
      </w:r>
      <w:r w:rsidDel="00000000" w:rsidR="00000000" w:rsidRPr="00000000">
        <w:rPr>
          <w:rtl w:val="0"/>
        </w:rPr>
      </w:r>
    </w:p>
    <w:p w:rsidR="00000000" w:rsidDel="00000000" w:rsidP="00000000" w:rsidRDefault="00000000" w:rsidRPr="00000000" w14:paraId="000000E8">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“For the life of the flesh is in the blood, and I have given it to you upon the altar to make atonement for your souls” (Leviticus 17:11, KJV)</w:t>
      </w:r>
      <w:r w:rsidDel="00000000" w:rsidR="00000000" w:rsidRPr="00000000">
        <w:rPr>
          <w:rtl w:val="0"/>
        </w:rPr>
      </w:r>
    </w:p>
    <w:p w:rsidR="00000000" w:rsidDel="00000000" w:rsidP="00000000" w:rsidRDefault="00000000" w:rsidRPr="00000000" w14:paraId="000000E9">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“To what purpose is the multitude of your sacrifices unto me? saith the LORD: I am full of the burnt offerings of rams, and the fat of fed beasts; and I delight not in the blood of bullocks, or of lambs, or of he goats.” (Isaiah 1:11, KJV)</w:t>
      </w:r>
      <w:r w:rsidDel="00000000" w:rsidR="00000000" w:rsidRPr="00000000">
        <w:rPr>
          <w:rtl w:val="0"/>
        </w:rPr>
      </w:r>
    </w:p>
    <w:p w:rsidR="00000000" w:rsidDel="00000000" w:rsidP="00000000" w:rsidRDefault="00000000" w:rsidRPr="00000000" w14:paraId="000000EA">
      <w:pPr>
        <w:spacing w:after="120" w:line="276" w:lineRule="auto"/>
        <w:rPr>
          <w:rFonts w:ascii="Times New Roman" w:cs="Times New Roman" w:eastAsia="Times New Roman" w:hAnsi="Times New Roman"/>
          <w:sz w:val="24"/>
          <w:szCs w:val="24"/>
        </w:rPr>
      </w:pPr>
      <w:r w:rsidDel="00000000" w:rsidR="00000000" w:rsidRPr="00000000">
        <w:rPr>
          <w:rtl w:val="0"/>
        </w:rPr>
        <w:t xml:space="preserve">Followed by the call to repent:</w:t>
      </w:r>
      <w:r w:rsidDel="00000000" w:rsidR="00000000" w:rsidRPr="00000000">
        <w:rPr>
          <w:rtl w:val="0"/>
        </w:rPr>
      </w:r>
    </w:p>
    <w:p w:rsidR="00000000" w:rsidDel="00000000" w:rsidP="00000000" w:rsidRDefault="00000000" w:rsidRPr="00000000" w14:paraId="000000EB">
      <w:pPr>
        <w:spacing w:after="120" w:line="276" w:lineRule="auto"/>
        <w:rPr>
          <w:rFonts w:ascii="Times New Roman" w:cs="Times New Roman" w:eastAsia="Times New Roman" w:hAnsi="Times New Roman"/>
          <w:sz w:val="24"/>
          <w:szCs w:val="24"/>
        </w:rPr>
      </w:pPr>
      <w:r w:rsidDel="00000000" w:rsidR="00000000" w:rsidRPr="00000000">
        <w:rPr>
          <w:rtl w:val="0"/>
        </w:rPr>
        <w:t xml:space="preserve">Amos:</w:t>
      </w:r>
      <w:r w:rsidDel="00000000" w:rsidR="00000000" w:rsidRPr="00000000">
        <w:rPr>
          <w:rtl w:val="0"/>
        </w:rPr>
      </w:r>
    </w:p>
    <w:p w:rsidR="00000000" w:rsidDel="00000000" w:rsidP="00000000" w:rsidRDefault="00000000" w:rsidRPr="00000000" w14:paraId="000000EC">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 hate, I despise your feast days, and I will not smell in your solemn assemblies. Though ye offer me burnt offerings and your meat offerings, I will not accept them: neither will I regard the peace offerings of your fat beasts. Take thou away from me the noise of thy songs; for I will not hear the melody of thy viols. But let judgment run down as waters, and righteousness as a mighty stream.” (Amos 5:21–24, KJV)</w:t>
      </w:r>
      <w:r w:rsidDel="00000000" w:rsidR="00000000" w:rsidRPr="00000000">
        <w:rPr>
          <w:rtl w:val="0"/>
        </w:rPr>
      </w:r>
    </w:p>
    <w:p w:rsidR="00000000" w:rsidDel="00000000" w:rsidP="00000000" w:rsidRDefault="00000000" w:rsidRPr="00000000" w14:paraId="000000ED">
      <w:pPr>
        <w:spacing w:after="120" w:line="276" w:lineRule="auto"/>
        <w:rPr>
          <w:rFonts w:ascii="Times New Roman" w:cs="Times New Roman" w:eastAsia="Times New Roman" w:hAnsi="Times New Roman"/>
          <w:sz w:val="24"/>
          <w:szCs w:val="24"/>
        </w:rPr>
      </w:pPr>
      <w:r w:rsidDel="00000000" w:rsidR="00000000" w:rsidRPr="00000000">
        <w:rPr>
          <w:rtl w:val="0"/>
        </w:rPr>
        <w:t xml:space="preserve">Hosea compresses it into the principle Jesus later quotes:</w:t>
      </w:r>
      <w:r w:rsidDel="00000000" w:rsidR="00000000" w:rsidRPr="00000000">
        <w:rPr>
          <w:rtl w:val="0"/>
        </w:rPr>
      </w:r>
    </w:p>
    <w:p w:rsidR="00000000" w:rsidDel="00000000" w:rsidP="00000000" w:rsidRDefault="00000000" w:rsidRPr="00000000" w14:paraId="000000EE">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is the Torah’s own hierarchy as preached by the prophets: ritual without repentance and obedience is empty.</w:t>
      </w:r>
      <w:r w:rsidDel="00000000" w:rsidR="00000000" w:rsidRPr="00000000">
        <w:rPr>
          <w:rtl w:val="0"/>
        </w:rPr>
      </w:r>
    </w:p>
    <w:p w:rsidR="00000000" w:rsidDel="00000000" w:rsidP="00000000" w:rsidRDefault="00000000" w:rsidRPr="00000000" w14:paraId="000000EF">
      <w:pPr>
        <w:spacing w:after="120" w:line="276" w:lineRule="auto"/>
        <w:rPr>
          <w:rFonts w:ascii="Times New Roman" w:cs="Times New Roman" w:eastAsia="Times New Roman" w:hAnsi="Times New Roman"/>
          <w:sz w:val="24"/>
          <w:szCs w:val="24"/>
        </w:rPr>
      </w:pPr>
      <w:r w:rsidDel="00000000" w:rsidR="00000000" w:rsidRPr="00000000">
        <w:rPr>
          <w:rtl w:val="0"/>
        </w:rPr>
        <w:t xml:space="preserve">The Torah does not speak as though that question is irrelevant. It treats obedience as embodied practice.</w:t>
      </w:r>
      <w:r w:rsidDel="00000000" w:rsidR="00000000" w:rsidRPr="00000000">
        <w:rPr>
          <w:rtl w:val="0"/>
        </w:rPr>
      </w:r>
    </w:p>
    <w:p w:rsidR="00000000" w:rsidDel="00000000" w:rsidP="00000000" w:rsidRDefault="00000000" w:rsidRPr="00000000" w14:paraId="000000F0">
      <w:pPr>
        <w:spacing w:after="120" w:line="276" w:lineRule="auto"/>
        <w:rPr>
          <w:rFonts w:ascii="Times New Roman" w:cs="Times New Roman" w:eastAsia="Times New Roman" w:hAnsi="Times New Roman"/>
          <w:sz w:val="24"/>
          <w:szCs w:val="24"/>
        </w:rPr>
      </w:pPr>
      <w:r w:rsidDel="00000000" w:rsidR="00000000" w:rsidRPr="00000000">
        <w:rPr>
          <w:rtl w:val="0"/>
        </w:rPr>
        <w:t xml:space="preserve">Obedience is not just inward sentiment; it is enacted compliance. Therefore, when the enacted mechanism becomes impossible, continuity becomes a practical question. Either the community preserves identity while acknowledging deprivation, or it proposes an interpretive replacement mechanism, or it claims renewed guidance that restores an operable worship-law program. The audience should notice what Scripture does not do. The Torah does not explicitly legislate a permanent “replacement altar” mechanism in the event the altar becomes inaccessible. It warns against adding or subtracting in covenant terms (Deuteronomy 4:2, KJV), and it repeatedly portrays Israel’s crises as moments requiring repentance and return rather than doctrinal invention. The prophets call the people back to God directly:</w:t>
      </w:r>
      <w:r w:rsidDel="00000000" w:rsidR="00000000" w:rsidRPr="00000000">
        <w:rPr>
          <w:rtl w:val="0"/>
        </w:rPr>
      </w:r>
    </w:p>
    <w:p w:rsidR="00000000" w:rsidDel="00000000" w:rsidP="00000000" w:rsidRDefault="00000000" w:rsidRPr="00000000" w14:paraId="000000F1">
      <w:pPr>
        <w:spacing w:after="120" w:line="276" w:lineRule="auto"/>
        <w:rPr>
          <w:rFonts w:ascii="Times New Roman" w:cs="Times New Roman" w:eastAsia="Times New Roman" w:hAnsi="Times New Roman"/>
          <w:sz w:val="24"/>
          <w:szCs w:val="24"/>
        </w:rPr>
      </w:pPr>
      <w:r w:rsidDel="00000000" w:rsidR="00000000" w:rsidRPr="00000000">
        <w:rPr>
          <w:rtl w:val="0"/>
        </w:rPr>
        <w:t xml:space="preserve">They do not formally codify a new sacrificial substitute; they preach repentance, mercy, justice, and exclusive worship. This is why the post-Temple rupture can be described as a “broken link” without implying that God’s mercy or access vanishes. The link that breaks is the institutional mechanism for certain prescriptions. The deeper baseline—direct devotion to God, repentance, obedience—remains. The question becomes how the full structure of prophetic religion—worship and law—continues in history once the older mechanism is no longer practicable. This core stance also allows the essay to speak clearly to Christians who have not read much of the Torah. Many Christians assume the Old Testament religion is “mostly sacrifice,” and Christianity “replaces it.” But the prophets themselves reject that reduction. Isaiah, Amos, Hosea, and the wider prophetic voice insist that sacrifice is never the core in isolation. That is why Jesus can quote Hosea.</w:t>
      </w:r>
      <w:r w:rsidDel="00000000" w:rsidR="00000000" w:rsidRPr="00000000">
        <w:rPr>
          <w:rtl w:val="0"/>
        </w:rPr>
      </w:r>
    </w:p>
    <w:p w:rsidR="00000000" w:rsidDel="00000000" w:rsidP="00000000" w:rsidRDefault="00000000" w:rsidRPr="00000000" w14:paraId="000000F2">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Islam as the Post-Temple Restoration of Abrahamic Worship: Portable, Law-Bearing, and Universal</w:t>
      </w:r>
      <w:r w:rsidDel="00000000" w:rsidR="00000000" w:rsidRPr="00000000">
        <w:rPr>
          <w:rtl w:val="0"/>
        </w:rPr>
      </w:r>
    </w:p>
    <w:p w:rsidR="00000000" w:rsidDel="00000000" w:rsidP="00000000" w:rsidRDefault="00000000" w:rsidRPr="00000000" w14:paraId="000000F3">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“upon the altar” (Leviticus 17:11, KJV)</w:t>
      </w:r>
      <w:r w:rsidDel="00000000" w:rsidR="00000000" w:rsidRPr="00000000">
        <w:rPr>
          <w:rtl w:val="0"/>
        </w:rPr>
      </w:r>
    </w:p>
    <w:p w:rsidR="00000000" w:rsidDel="00000000" w:rsidP="00000000" w:rsidRDefault="00000000" w:rsidRPr="00000000" w14:paraId="000000F4">
      <w:pPr>
        <w:spacing w:after="120" w:line="276" w:lineRule="auto"/>
        <w:rPr>
          <w:rFonts w:ascii="Times New Roman" w:cs="Times New Roman" w:eastAsia="Times New Roman" w:hAnsi="Times New Roman"/>
          <w:sz w:val="24"/>
          <w:szCs w:val="24"/>
        </w:rPr>
      </w:pPr>
      <w:r w:rsidDel="00000000" w:rsidR="00000000" w:rsidRPr="00000000">
        <w:rPr>
          <w:rtl w:val="0"/>
        </w:rPr>
        <w:t xml:space="preserve">After 70 CE, that mechanism cannot be practiced as written. The crisis is therefore not whether God can forgive; it is whether the revealed system can be observed in a complete and stable way without resorting to unauthorized replacement. Islam presents itself as a restoration response to precisely that condition. Its claim is not that it invents a new deity or replaces Abrahamic monotheism with something foreign. Its claim is that it restores Abrahamic monotheism as a universal, portable way of worship and obedience—one that can be practiced without dependence on a sanctuary altar, while still retaining law seriousness and public worship life. Accordingly, Islam’s post-Temple relevance is structural: it supplies an operable engine where the older mechanism is no longer available. This is where misunderstandings must be addressed plainly. The answer is that sacrifice exists in the patriarchal world, but the patriarchal world is not governed by the Sinai sanctuary legislation as a binding legal system. Abraham’s faith is not defined by a codified priesthood and a prescribed sanctuary calendar. It is defined by direct devotion, trust, obedience, and rejection of idols. Scripture’s own prophetic critique later clarifies that sacrifice is never the essence of covenant faithfulness detached from righteousness (Isaiah 1; Amos 5; Hosea 6:6, KJV). Therefore, the existence of sacrifice in early narratives does not prove that a centralized altar system is the only valid “phone line” to God in all eras. What it proves is that worship can include sacrifice—while the deeper baseline remains exclusive devotion and obedience. Islam’s claim, then, is not “sacrifice never mattered.” It is that God’s religion is not reducible to one institutional technology, and that post-Temple life requires an operable form of worship and law that does not collapse when the sanctuary is gone. Islam’s portable worship-life—structured prayer, repentance, fasting, almsgiving, pilgrimage—functions as public, enacted monotheism across lands. Its law seriousness functions as covenant seriousness: a community ordered around obedience rather than around theological improvisation. This fits the prophetic hierarchy Jesus himself reiterates:</w:t>
      </w:r>
      <w:r w:rsidDel="00000000" w:rsidR="00000000" w:rsidRPr="00000000">
        <w:rPr>
          <w:rtl w:val="0"/>
        </w:rPr>
      </w:r>
    </w:p>
    <w:p w:rsidR="00000000" w:rsidDel="00000000" w:rsidP="00000000" w:rsidRDefault="00000000" w:rsidRPr="00000000" w14:paraId="000000F5">
      <w:pPr>
        <w:spacing w:after="120" w:line="276" w:lineRule="auto"/>
        <w:rPr>
          <w:rFonts w:ascii="Times New Roman" w:cs="Times New Roman" w:eastAsia="Times New Roman" w:hAnsi="Times New Roman"/>
          <w:sz w:val="24"/>
          <w:szCs w:val="24"/>
        </w:rPr>
      </w:pPr>
      <w:r w:rsidDel="00000000" w:rsidR="00000000" w:rsidRPr="00000000">
        <w:rPr>
          <w:rtl w:val="0"/>
        </w:rPr>
        <w:t xml:space="preserve">Deuteronomy’s prophetic profile is similar in form (Deuteronomy 18:18, KJV).</w:t>
      </w:r>
      <w:r w:rsidDel="00000000" w:rsidR="00000000" w:rsidRPr="00000000">
        <w:rPr>
          <w:rtl w:val="0"/>
        </w:rPr>
      </w:r>
    </w:p>
    <w:p w:rsidR="00000000" w:rsidDel="00000000" w:rsidP="00000000" w:rsidRDefault="00000000" w:rsidRPr="00000000" w14:paraId="000000F6">
      <w:pPr>
        <w:spacing w:after="120" w:line="276" w:lineRule="auto"/>
        <w:rPr>
          <w:rFonts w:ascii="Times New Roman" w:cs="Times New Roman" w:eastAsia="Times New Roman" w:hAnsi="Times New Roman"/>
          <w:sz w:val="24"/>
          <w:szCs w:val="24"/>
        </w:rPr>
      </w:pPr>
      <w:r w:rsidDel="00000000" w:rsidR="00000000" w:rsidRPr="00000000">
        <w:rPr>
          <w:rtl w:val="0"/>
        </w:rPr>
        <w:t xml:space="preserve">Isaiah’s nations-horizon is explicitly anti-idolatry:</w:t>
      </w:r>
      <w:r w:rsidDel="00000000" w:rsidR="00000000" w:rsidRPr="00000000">
        <w:rPr>
          <w:rtl w:val="0"/>
        </w:rPr>
      </w:r>
    </w:p>
    <w:p w:rsidR="00000000" w:rsidDel="00000000" w:rsidP="00000000" w:rsidRDefault="00000000" w:rsidRPr="00000000" w14:paraId="000000F7">
      <w:pPr>
        <w:spacing w:after="120" w:line="276" w:lineRule="auto"/>
        <w:rPr>
          <w:rFonts w:ascii="Times New Roman" w:cs="Times New Roman" w:eastAsia="Times New Roman" w:hAnsi="Times New Roman"/>
          <w:sz w:val="24"/>
          <w:szCs w:val="24"/>
        </w:rPr>
      </w:pPr>
      <w:r w:rsidDel="00000000" w:rsidR="00000000" w:rsidRPr="00000000">
        <w:rPr>
          <w:rtl w:val="0"/>
        </w:rPr>
        <w:t xml:space="preserve">And the servant’s mission includes a law-bearing dimension that reaches outward (Isaiah 42:1–4, KJV). Under that prophetic metric, Islam’s central fruit is not imperial grandeur but the establishment of a durable monotheistic worship life—public prayer to the God of Abraham alone—over vast populations and centuries. If the core question is how monotheism remains operable after the Temple’s fall, then a religion whose public life centers on portable worship and law, without sanctuary dependence, presents itself as a plausible answer in principle. This prepares to hear Islam’s self-definition clearly: Islam does not treat the Torah and New Testament as binding legal authority for Muslims. They function here as pre-claim context—the text-world in which the textual room, nations-horizon, prophetic form, and transfer grammar are established.</w:t>
      </w:r>
      <w:r w:rsidDel="00000000" w:rsidR="00000000" w:rsidRPr="00000000">
        <w:rPr>
          <w:rtl w:val="0"/>
        </w:rPr>
      </w:r>
    </w:p>
    <w:p w:rsidR="00000000" w:rsidDel="00000000" w:rsidP="00000000" w:rsidRDefault="00000000" w:rsidRPr="00000000" w14:paraId="000000F8">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The Biblical Tests for Claimants: Deuteronomy and Jesus on False Teachers (KJV)</w:t>
      </w:r>
      <w:r w:rsidDel="00000000" w:rsidR="00000000" w:rsidRPr="00000000">
        <w:rPr>
          <w:rtl w:val="0"/>
        </w:rPr>
      </w:r>
    </w:p>
    <w:p w:rsidR="00000000" w:rsidDel="00000000" w:rsidP="00000000" w:rsidRDefault="00000000" w:rsidRPr="00000000" w14:paraId="000000F9">
      <w:pPr>
        <w:spacing w:after="120" w:line="276" w:lineRule="auto"/>
        <w:rPr>
          <w:rFonts w:ascii="Times New Roman" w:cs="Times New Roman" w:eastAsia="Times New Roman" w:hAnsi="Times New Roman"/>
          <w:sz w:val="24"/>
          <w:szCs w:val="24"/>
        </w:rPr>
      </w:pPr>
      <w:r w:rsidDel="00000000" w:rsidR="00000000" w:rsidRPr="00000000">
        <w:rPr>
          <w:rtl w:val="0"/>
        </w:rPr>
        <w:t xml:space="preserve">Scripture anticipates that people will claim divine authority falsely. Therefore it provides criteria to evaluate claimants, and it expects communities to use them. Deuteronomy warns that even signs and wonders are not sufficient if the message leads away from God:</w:t>
      </w:r>
      <w:r w:rsidDel="00000000" w:rsidR="00000000" w:rsidRPr="00000000">
        <w:rPr>
          <w:rtl w:val="0"/>
        </w:rPr>
      </w:r>
    </w:p>
    <w:p w:rsidR="00000000" w:rsidDel="00000000" w:rsidP="00000000" w:rsidRDefault="00000000" w:rsidRPr="00000000" w14:paraId="000000FA">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“If there arise among you a prophet, or a dreamer of dreams, and giveth thee a sign or a wonder, And the sign or the wonder come to pass, whereof he spake unto thee, saying, Let us go after other gods, which thou hast not known, and let us serve them; Thou shalt not hearken unto the words of that prophet, or that dreamer of dreams: for the LORD your God proveth you, to know whether ye love the LORD your God with all your heart and with all your soul.” (Deuteronomy 13:1–3, KJV)</w:t>
      </w:r>
      <w:r w:rsidDel="00000000" w:rsidR="00000000" w:rsidRPr="00000000">
        <w:rPr>
          <w:rtl w:val="0"/>
        </w:rPr>
      </w:r>
    </w:p>
    <w:p w:rsidR="00000000" w:rsidDel="00000000" w:rsidP="00000000" w:rsidRDefault="00000000" w:rsidRPr="00000000" w14:paraId="000000FB">
      <w:pPr>
        <w:spacing w:after="120" w:line="276" w:lineRule="auto"/>
        <w:rPr>
          <w:rFonts w:ascii="Times New Roman" w:cs="Times New Roman" w:eastAsia="Times New Roman" w:hAnsi="Times New Roman"/>
          <w:sz w:val="24"/>
          <w:szCs w:val="24"/>
        </w:rPr>
      </w:pPr>
      <w:r w:rsidDel="00000000" w:rsidR="00000000" w:rsidRPr="00000000">
        <w:rPr>
          <w:rtl w:val="0"/>
        </w:rPr>
        <w:t xml:space="preserve">The decisive test is fidelity to exclusive worship of the LORD. A claimant who redirects devotion away from the God of Abraham fails, regardless of charisma. Deuteronomy also frames prophetic authority as conveyed speech and places accountability on those who claim it:</w:t>
      </w:r>
      <w:r w:rsidDel="00000000" w:rsidR="00000000" w:rsidRPr="00000000">
        <w:rPr>
          <w:rtl w:val="0"/>
        </w:rPr>
      </w:r>
    </w:p>
    <w:p w:rsidR="00000000" w:rsidDel="00000000" w:rsidP="00000000" w:rsidRDefault="00000000" w:rsidRPr="00000000" w14:paraId="000000FC">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“And it shall come to pass, that whosoever will not hearken unto my words which he shall speak in my name, I will require it of him.” (Deuteronomy 18:19, KJV)</w:t>
      </w:r>
      <w:r w:rsidDel="00000000" w:rsidR="00000000" w:rsidRPr="00000000">
        <w:rPr>
          <w:rtl w:val="0"/>
        </w:rPr>
      </w:r>
    </w:p>
    <w:p w:rsidR="00000000" w:rsidDel="00000000" w:rsidP="00000000" w:rsidRDefault="00000000" w:rsidRPr="00000000" w14:paraId="000000FD">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“But the prophet, which shall presume to speak a word in my name, which I have not commanded him to speak, or that shall speak in the name of other gods, even that prophet shall die.” (Deuteronomy 18:20, KJV)</w:t>
      </w:r>
      <w:r w:rsidDel="00000000" w:rsidR="00000000" w:rsidRPr="00000000">
        <w:rPr>
          <w:rtl w:val="0"/>
        </w:rPr>
      </w:r>
    </w:p>
    <w:p w:rsidR="00000000" w:rsidDel="00000000" w:rsidP="00000000" w:rsidRDefault="00000000" w:rsidRPr="00000000" w14:paraId="000000FE">
      <w:pPr>
        <w:spacing w:after="120" w:line="276" w:lineRule="auto"/>
        <w:rPr>
          <w:rFonts w:ascii="Times New Roman" w:cs="Times New Roman" w:eastAsia="Times New Roman" w:hAnsi="Times New Roman"/>
          <w:sz w:val="24"/>
          <w:szCs w:val="24"/>
        </w:rPr>
      </w:pPr>
      <w:r w:rsidDel="00000000" w:rsidR="00000000" w:rsidRPr="00000000">
        <w:rPr>
          <w:rtl w:val="0"/>
        </w:rPr>
        <w:t xml:space="preserve">While debates exist over how to apply “fulfillment” tests to prophecy, the broader point stands: claimants are not exempt from evaluation. Jesus reiterates the same evaluative posture.</w:t>
      </w:r>
      <w:r w:rsidDel="00000000" w:rsidR="00000000" w:rsidRPr="00000000">
        <w:rPr>
          <w:rtl w:val="0"/>
        </w:rPr>
      </w:r>
    </w:p>
    <w:p w:rsidR="00000000" w:rsidDel="00000000" w:rsidP="00000000" w:rsidRDefault="00000000" w:rsidRPr="00000000" w14:paraId="000000FF">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“Beware of false prophets” (Matthew 7:15, KJV)</w:t>
      </w:r>
      <w:r w:rsidDel="00000000" w:rsidR="00000000" w:rsidRPr="00000000">
        <w:rPr>
          <w:rtl w:val="0"/>
        </w:rPr>
      </w:r>
    </w:p>
    <w:p w:rsidR="00000000" w:rsidDel="00000000" w:rsidP="00000000" w:rsidRDefault="00000000" w:rsidRPr="00000000" w14:paraId="00000100">
      <w:pPr>
        <w:spacing w:after="80" w:line="276" w:lineRule="auto"/>
        <w:ind w:left="360"/>
        <w:rPr>
          <w:rFonts w:ascii="Times New Roman" w:cs="Times New Roman" w:eastAsia="Times New Roman" w:hAnsi="Times New Roman"/>
          <w:i w:val="1"/>
          <w:iCs w:val="1"/>
          <w:sz w:val="24"/>
          <w:szCs w:val="24"/>
        </w:rPr>
      </w:pPr>
      <w:r w:rsidDel="00000000" w:rsidR="00000000" w:rsidRPr="00000000">
        <w:rPr>
          <w:rtl w:val="0"/>
        </w:rPr>
        <w:t xml:space="preserve">“You will recognize them by their fruits” (Matthew 7:16, KJV)</w:t>
      </w:r>
      <w:r w:rsidDel="00000000" w:rsidR="00000000" w:rsidRPr="00000000">
        <w:rPr>
          <w:rtl w:val="0"/>
        </w:rPr>
      </w:r>
    </w:p>
    <w:p w:rsidR="00000000" w:rsidDel="00000000" w:rsidP="00000000" w:rsidRDefault="00000000" w:rsidRPr="00000000" w14:paraId="00000101">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he emphasizes that religious claims can be loud and still be rejected if they are not aligned with God’s will:</w:t>
      </w:r>
      <w:r w:rsidDel="00000000" w:rsidR="00000000" w:rsidRPr="00000000">
        <w:rPr>
          <w:rtl w:val="0"/>
        </w:rPr>
      </w:r>
    </w:p>
    <w:p w:rsidR="00000000" w:rsidDel="00000000" w:rsidP="00000000" w:rsidRDefault="00000000" w:rsidRPr="00000000" w14:paraId="00000102">
      <w:pPr>
        <w:spacing w:after="120" w:line="276" w:lineRule="auto"/>
        <w:rPr>
          <w:rFonts w:ascii="Times New Roman" w:cs="Times New Roman" w:eastAsia="Times New Roman" w:hAnsi="Times New Roman"/>
          <w:sz w:val="24"/>
          <w:szCs w:val="24"/>
        </w:rPr>
      </w:pPr>
      <w:r w:rsidDel="00000000" w:rsidR="00000000" w:rsidRPr="00000000">
        <w:rPr>
          <w:rtl w:val="0"/>
        </w:rPr>
        <w:t xml:space="preserve">Put simply, the Bible itself forbids an attitude of automatic trust toward religious authority. It demands tests: exclusive worship of God, fidelity to God’s will, and fruit. This is the framework within which the essay compares Paul and Muhammad—not by insult, but by applying the same scriptural tests consistently.</w:t>
      </w:r>
      <w:r w:rsidDel="00000000" w:rsidR="00000000" w:rsidRPr="00000000">
        <w:rPr>
          <w:rtl w:val="0"/>
        </w:rPr>
      </w:r>
    </w:p>
    <w:p w:rsidR="00000000" w:rsidDel="00000000" w:rsidP="00000000" w:rsidRDefault="00000000" w:rsidRPr="00000000" w14:paraId="00000103">
      <w:pPr>
        <w:spacing w:after="120" w:line="276" w:lineRule="auto"/>
        <w:rPr>
          <w:rFonts w:ascii="Times New Roman" w:cs="Times New Roman" w:eastAsia="Times New Roman" w:hAnsi="Times New Roman"/>
          <w:sz w:val="24"/>
          <w:szCs w:val="24"/>
        </w:rPr>
      </w:pPr>
      <w:r w:rsidDel="00000000" w:rsidR="00000000" w:rsidRPr="00000000">
        <w:rPr>
          <w:rtl w:val="0"/>
        </w:rPr>
        <w:t xml:space="preserve">Paul and Muhammad Under the Same Test Grid</w:t>
      </w:r>
      <w:r w:rsidDel="00000000" w:rsidR="00000000" w:rsidRPr="00000000">
        <w:rPr>
          <w:rtl w:val="0"/>
        </w:rPr>
      </w:r>
    </w:p>
    <w:p w:rsidR="00000000" w:rsidDel="00000000" w:rsidP="00000000" w:rsidRDefault="00000000" w:rsidRPr="00000000" w14:paraId="00000104">
      <w:pPr>
        <w:spacing w:after="120" w:line="276" w:lineRule="auto"/>
        <w:rPr>
          <w:rFonts w:ascii="Times New Roman" w:cs="Times New Roman" w:eastAsia="Times New Roman" w:hAnsi="Times New Roman"/>
          <w:sz w:val="24"/>
          <w:szCs w:val="24"/>
        </w:rPr>
      </w:pPr>
      <w:r w:rsidDel="00000000" w:rsidR="00000000" w:rsidRPr="00000000">
        <w:rPr>
          <w:rtl w:val="0"/>
        </w:rPr>
        <w:t xml:space="preserve">Before applying biblical tests, one clarification keeps the tone fair: in mainstream Christian self-understanding Paul is typically classified as an apostle and teacher of the early church, not as a prophet in the same sense as Moses or Isaiah. The comparison here is mechanical rather than personal: it examines what kind of solution a post-Temple crisis receives when it is answered primarily through apostolic-theological interpretation rather than a fresh, public prophetic claim. (KJV)</w:t>
      </w:r>
      <w:r w:rsidDel="00000000" w:rsidR="00000000" w:rsidRPr="00000000">
        <w:rPr>
          <w:rtl w:val="0"/>
        </w:rPr>
      </w:r>
    </w:p>
    <w:p w:rsidR="00000000" w:rsidDel="00000000" w:rsidP="00000000" w:rsidRDefault="00000000" w:rsidRPr="00000000" w14:paraId="00000105">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Islam’s self-definition is explicit: worship is directed to God alone; prayer to created beings is forbidden; devotion terminates in the God of Abraham. This aligns straightforwardly with the Deuteronomic boundary. The Christian question becomes more complex not because Christians intend idolatry, but because later doctrinal development debates how devotion to Jesus relates to exclusive worship of God. The essay’s point is not to litigate the whole Christology debate here;</w:t>
      </w:r>
      <w:r w:rsidDel="00000000" w:rsidR="00000000" w:rsidRPr="00000000">
        <w:rPr>
          <w:rtl w:val="0"/>
        </w:rPr>
      </w:r>
    </w:p>
    <w:p w:rsidR="00000000" w:rsidDel="00000000" w:rsidP="00000000" w:rsidRDefault="00000000" w:rsidRPr="00000000" w14:paraId="00000106">
      <w:pPr>
        <w:spacing w:after="120" w:line="276" w:lineRule="auto"/>
        <w:rPr>
          <w:rFonts w:ascii="Times New Roman" w:cs="Times New Roman" w:eastAsia="Times New Roman" w:hAnsi="Times New Roman"/>
          <w:sz w:val="24"/>
          <w:szCs w:val="24"/>
        </w:rPr>
      </w:pPr>
      <w:r w:rsidDel="00000000" w:rsidR="00000000" w:rsidRPr="00000000">
        <w:rPr>
          <w:rtl w:val="0"/>
        </w:rPr>
        <w:t xml:space="preserve">The Qur’an presents itself precisely as recited conveyed speech—</w:t>
      </w:r>
      <w:r w:rsidDel="00000000" w:rsidR="00000000" w:rsidRPr="00000000">
        <w:rPr>
          <w:rtl w:val="0"/>
        </w:rPr>
      </w:r>
    </w:p>
    <w:p w:rsidR="00000000" w:rsidDel="00000000" w:rsidP="00000000" w:rsidRDefault="00000000" w:rsidRPr="00000000" w14:paraId="00000107">
      <w:pPr>
        <w:spacing w:after="120" w:line="276" w:lineRule="auto"/>
        <w:rPr>
          <w:rFonts w:ascii="Times New Roman" w:cs="Times New Roman" w:eastAsia="Times New Roman" w:hAnsi="Times New Roman"/>
          <w:sz w:val="24"/>
          <w:szCs w:val="24"/>
        </w:rPr>
      </w:pPr>
      <w:r w:rsidDel="00000000" w:rsidR="00000000" w:rsidRPr="00000000">
        <w:rPr>
          <w:rtl w:val="0"/>
        </w:rPr>
        <w:t xml:space="preserve">And denies personal doctrinal authorship—</w:t>
      </w:r>
      <w:r w:rsidDel="00000000" w:rsidR="00000000" w:rsidRPr="00000000">
        <w:rPr>
          <w:rtl w:val="0"/>
        </w:rPr>
      </w:r>
    </w:p>
    <w:p w:rsidR="00000000" w:rsidDel="00000000" w:rsidP="00000000" w:rsidRDefault="00000000" w:rsidRPr="00000000" w14:paraId="00000108">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Early Christian Diversity Without Sensationalism: Real Disputes About Authority and Law</w:t>
      </w:r>
      <w:r w:rsidDel="00000000" w:rsidR="00000000" w:rsidRPr="00000000">
        <w:rPr>
          <w:rtl w:val="0"/>
        </w:rPr>
      </w:r>
    </w:p>
    <w:p w:rsidR="00000000" w:rsidDel="00000000" w:rsidP="00000000" w:rsidRDefault="00000000" w:rsidRPr="00000000" w14:paraId="00000109">
      <w:pPr>
        <w:spacing w:after="120" w:line="276" w:lineRule="auto"/>
        <w:rPr>
          <w:rFonts w:ascii="Times New Roman" w:cs="Times New Roman" w:eastAsia="Times New Roman" w:hAnsi="Times New Roman"/>
          <w:sz w:val="24"/>
          <w:szCs w:val="24"/>
        </w:rPr>
      </w:pPr>
      <w:r w:rsidDel="00000000" w:rsidR="00000000" w:rsidRPr="00000000">
        <w:rPr>
          <w:rtl w:val="0"/>
        </w:rPr>
        <w:t xml:space="preserve">Early Christian diversity matters for historical method: the earliest Jesus movement was not doctrinally uniform from the outset, especially on the issues that become decisive after the Temple rupture—Law, Gentiles, covenant identity, and what continuity with Israel’s Scriptures entails.</w:t>
      </w:r>
      <w:r w:rsidDel="00000000" w:rsidR="00000000" w:rsidRPr="00000000">
        <w:rPr>
          <w:rtl w:val="0"/>
        </w:rPr>
      </w:r>
    </w:p>
    <w:p w:rsidR="00000000" w:rsidDel="00000000" w:rsidP="00000000" w:rsidRDefault="00000000" w:rsidRPr="00000000" w14:paraId="0000010A">
      <w:pPr>
        <w:spacing w:after="120" w:line="276" w:lineRule="auto"/>
        <w:rPr>
          <w:rFonts w:ascii="Times New Roman" w:cs="Times New Roman" w:eastAsia="Times New Roman" w:hAnsi="Times New Roman"/>
          <w:sz w:val="24"/>
          <w:szCs w:val="24"/>
        </w:rPr>
      </w:pPr>
      <w:r w:rsidDel="00000000" w:rsidR="00000000" w:rsidRPr="00000000">
        <w:rPr>
          <w:rtl w:val="0"/>
        </w:rPr>
        <w:t xml:space="preserve">The New Testament preserves this plainly. The question of whether Gentile believers must be circumcised and required to keep the Law appears as a major controversy—</w:t>
      </w:r>
      <w:r w:rsidDel="00000000" w:rsidR="00000000" w:rsidRPr="00000000">
        <w:rPr>
          <w:rtl w:val="0"/>
        </w:rPr>
      </w:r>
    </w:p>
    <w:p w:rsidR="00000000" w:rsidDel="00000000" w:rsidP="00000000" w:rsidRDefault="00000000" w:rsidRPr="00000000" w14:paraId="0000010B">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“And certain men which came down from Judaea taught the brethren, and said, Except ye be circumcised after the manner of Moses, ye cannot be saved.” (Acts 15:1, KJV)</w:t>
      </w:r>
      <w:r w:rsidDel="00000000" w:rsidR="00000000" w:rsidRPr="00000000">
        <w:rPr>
          <w:rtl w:val="0"/>
        </w:rPr>
      </w:r>
    </w:p>
    <w:p w:rsidR="00000000" w:rsidDel="00000000" w:rsidP="00000000" w:rsidRDefault="00000000" w:rsidRPr="00000000" w14:paraId="0000010C">
      <w:pPr>
        <w:spacing w:after="120" w:line="276" w:lineRule="auto"/>
        <w:rPr>
          <w:rFonts w:ascii="Times New Roman" w:cs="Times New Roman" w:eastAsia="Times New Roman" w:hAnsi="Times New Roman"/>
          <w:sz w:val="24"/>
          <w:szCs w:val="24"/>
        </w:rPr>
      </w:pPr>
      <w:r w:rsidDel="00000000" w:rsidR="00000000" w:rsidRPr="00000000">
        <w:rPr>
          <w:rtl w:val="0"/>
        </w:rPr>
        <w:t xml:space="preserve">And it was serious enough to provoke formal dispute and deliberation (Acts 15:2, KJV). Whatever one concludes theologically, this establishes a basic historical fact: early Christians were negotiating continuity and authority under pressure, not simply repeating a single uncontested template. That matters for the post-Temple thesis because it reframes the “Paul question” away from personality and toward mechanics. A movement expanding into the Gentile world, disputing Law-obligation, and approaching a world in which the Temple’s mechanism becomes inoperable is precisely the setting in which different continuity engines would emerge.</w:t>
      </w:r>
      <w:r w:rsidDel="00000000" w:rsidR="00000000" w:rsidRPr="00000000">
        <w:rPr>
          <w:rtl w:val="0"/>
        </w:rPr>
      </w:r>
    </w:p>
    <w:p w:rsidR="00000000" w:rsidDel="00000000" w:rsidP="00000000" w:rsidRDefault="00000000" w:rsidRPr="00000000" w14:paraId="0000010D">
      <w:pPr>
        <w:spacing w:after="120" w:line="276" w:lineRule="auto"/>
        <w:rPr>
          <w:rFonts w:ascii="Times New Roman" w:cs="Times New Roman" w:eastAsia="Times New Roman" w:hAnsi="Times New Roman"/>
          <w:sz w:val="24"/>
          <w:szCs w:val="24"/>
        </w:rPr>
      </w:pPr>
      <w:r w:rsidDel="00000000" w:rsidR="00000000" w:rsidRPr="00000000">
        <w:rPr>
          <w:rtl w:val="0"/>
        </w:rPr>
        <w:t xml:space="preserve">To understand why Christianity develops the way it does after 70 CE, has to face the role Paul comes to play in shaping a portable, cross-centered account of atonement. This is not an attack on motives; it is a description of a theological mechanism that solves the post-Temple problem in a particular way. Naming that mechanism clearly makes the later comparison with Islam intelligible.</w:t>
      </w:r>
      <w:r w:rsidDel="00000000" w:rsidR="00000000" w:rsidRPr="00000000">
        <w:rPr>
          <w:rtl w:val="0"/>
        </w:rPr>
      </w:r>
    </w:p>
    <w:p w:rsidR="00000000" w:rsidDel="00000000" w:rsidP="00000000" w:rsidRDefault="00000000" w:rsidRPr="00000000" w14:paraId="0000010E">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The Pauline Post-Temple Framework: Replacement Versus Restoration</w:t>
      </w:r>
      <w:r w:rsidDel="00000000" w:rsidR="00000000" w:rsidRPr="00000000">
        <w:rPr>
          <w:rtl w:val="0"/>
        </w:rPr>
      </w:r>
    </w:p>
    <w:p w:rsidR="00000000" w:rsidDel="00000000" w:rsidP="00000000" w:rsidRDefault="00000000" w:rsidRPr="00000000" w14:paraId="0000010F">
      <w:pPr>
        <w:spacing w:after="120" w:line="276" w:lineRule="auto"/>
        <w:rPr>
          <w:rFonts w:ascii="Times New Roman" w:cs="Times New Roman" w:eastAsia="Times New Roman" w:hAnsi="Times New Roman"/>
          <w:sz w:val="24"/>
          <w:szCs w:val="24"/>
        </w:rPr>
      </w:pPr>
      <w:r w:rsidDel="00000000" w:rsidR="00000000" w:rsidRPr="00000000">
        <w:rPr>
          <w:rtl w:val="0"/>
        </w:rPr>
        <w:t xml:space="preserve">With the rupture in view, the central issue is no longer “who has spiritual feelings” but which continuity model is textually warranted and historically workable when the altar system is no longer operable. The Torah explicitly attaches atonement to a sanctuary mechanism—</w:t>
      </w:r>
      <w:r w:rsidDel="00000000" w:rsidR="00000000" w:rsidRPr="00000000">
        <w:rPr>
          <w:rtl w:val="0"/>
        </w:rPr>
      </w:r>
    </w:p>
    <w:p w:rsidR="00000000" w:rsidDel="00000000" w:rsidP="00000000" w:rsidRDefault="00000000" w:rsidRPr="00000000" w14:paraId="00000110">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“I have given it to you upon the altar to make atonement for your souls” (Leviticus 17:11, KJV)</w:t>
      </w:r>
      <w:r w:rsidDel="00000000" w:rsidR="00000000" w:rsidRPr="00000000">
        <w:rPr>
          <w:rtl w:val="0"/>
        </w:rPr>
      </w:r>
    </w:p>
    <w:p w:rsidR="00000000" w:rsidDel="00000000" w:rsidP="00000000" w:rsidRDefault="00000000" w:rsidRPr="00000000" w14:paraId="00000111">
      <w:pPr>
        <w:spacing w:after="120" w:line="276" w:lineRule="auto"/>
        <w:rPr>
          <w:rFonts w:ascii="Times New Roman" w:cs="Times New Roman" w:eastAsia="Times New Roman" w:hAnsi="Times New Roman"/>
          <w:sz w:val="24"/>
          <w:szCs w:val="24"/>
        </w:rPr>
      </w:pPr>
      <w:r w:rsidDel="00000000" w:rsidR="00000000" w:rsidRPr="00000000">
        <w:rPr>
          <w:rtl w:val="0"/>
        </w:rPr>
        <w:t xml:space="preserve">And it frames covenant life as enacted obedience—</w:t>
      </w:r>
      <w:r w:rsidDel="00000000" w:rsidR="00000000" w:rsidRPr="00000000">
        <w:rPr>
          <w:rtl w:val="0"/>
        </w:rPr>
      </w:r>
    </w:p>
    <w:p w:rsidR="00000000" w:rsidDel="00000000" w:rsidP="00000000" w:rsidRDefault="00000000" w:rsidRPr="00000000" w14:paraId="00000112">
      <w:pPr>
        <w:spacing w:after="120" w:line="276" w:lineRule="auto"/>
        <w:rPr>
          <w:rFonts w:ascii="Times New Roman" w:cs="Times New Roman" w:eastAsia="Times New Roman" w:hAnsi="Times New Roman"/>
          <w:sz w:val="24"/>
          <w:szCs w:val="24"/>
        </w:rPr>
      </w:pPr>
      <w:r w:rsidDel="00000000" w:rsidR="00000000" w:rsidRPr="00000000">
        <w:rPr>
          <w:rtl w:val="0"/>
        </w:rPr>
        <w:t xml:space="preserve">After 70 CE, the enacted mechanism is inaccessible. That fact forces a fork. One response is preservation under deprivation, which Judaism embodies: Torah remains authoritative; practice continues where possible; the loss is acknowledged as real, not denied. A second response is a replacement engine, where the sanctuary-centered mechanism is treated as fulfilled or superseded by a new mechanism that no longer requires the Temple’s operation. This second response is the structural role Pauline theology comes to play in Christian history. This comparison can be stated in mechanical terms rather than as an attack on motives: the question is what kind of continuity model each approach constructs after the sanctuary mechanism becomes inaccessible.</w:t>
      </w:r>
      <w:r w:rsidDel="00000000" w:rsidR="00000000" w:rsidRPr="00000000">
        <w:rPr>
          <w:rtl w:val="0"/>
        </w:rPr>
      </w:r>
    </w:p>
    <w:p w:rsidR="00000000" w:rsidDel="00000000" w:rsidP="00000000" w:rsidRDefault="00000000" w:rsidRPr="00000000" w14:paraId="00000113">
      <w:pPr>
        <w:spacing w:after="120" w:line="276" w:lineRule="auto"/>
        <w:rPr>
          <w:rFonts w:ascii="Times New Roman" w:cs="Times New Roman" w:eastAsia="Times New Roman" w:hAnsi="Times New Roman"/>
          <w:sz w:val="24"/>
          <w:szCs w:val="24"/>
        </w:rPr>
      </w:pPr>
      <w:r w:rsidDel="00000000" w:rsidR="00000000" w:rsidRPr="00000000">
        <w:rPr>
          <w:rtl w:val="0"/>
        </w:rPr>
        <w:t xml:space="preserve">Paul did not originate Christian belief that Jesus would suffer and die; the claim here is that his letters, and later theology built around them, helped systematize a cross-centered solution as the organizing mechanism of reconciliation in a post-Temple world.</w:t>
      </w:r>
      <w:r w:rsidDel="00000000" w:rsidR="00000000" w:rsidRPr="00000000">
        <w:rPr>
          <w:rtl w:val="0"/>
        </w:rPr>
      </w:r>
    </w:p>
    <w:p w:rsidR="00000000" w:rsidDel="00000000" w:rsidP="00000000" w:rsidRDefault="00000000" w:rsidRPr="00000000" w14:paraId="00000114">
      <w:pPr>
        <w:spacing w:after="120" w:line="276" w:lineRule="auto"/>
        <w:rPr>
          <w:rFonts w:ascii="Times New Roman" w:cs="Times New Roman" w:eastAsia="Times New Roman" w:hAnsi="Times New Roman"/>
          <w:sz w:val="24"/>
          <w:szCs w:val="24"/>
        </w:rPr>
      </w:pPr>
      <w:r w:rsidDel="00000000" w:rsidR="00000000" w:rsidRPr="00000000">
        <w:rPr>
          <w:rtl w:val="0"/>
        </w:rPr>
        <w:t xml:space="preserve">The point here is not to assign motives, but to describe how authority, worship, and covenant identity reorganized after the Temple’s loss—and how different solutions treat law, repentance, and atonement.</w:t>
      </w:r>
      <w:r w:rsidDel="00000000" w:rsidR="00000000" w:rsidRPr="00000000">
        <w:rPr>
          <w:rtl w:val="0"/>
        </w:rPr>
      </w:r>
    </w:p>
    <w:p w:rsidR="00000000" w:rsidDel="00000000" w:rsidP="00000000" w:rsidRDefault="00000000" w:rsidRPr="00000000" w14:paraId="00000115">
      <w:pPr>
        <w:spacing w:after="120" w:line="276" w:lineRule="auto"/>
        <w:rPr>
          <w:rFonts w:ascii="Times New Roman" w:cs="Times New Roman" w:eastAsia="Times New Roman" w:hAnsi="Times New Roman"/>
          <w:sz w:val="24"/>
          <w:szCs w:val="24"/>
        </w:rPr>
      </w:pPr>
      <w:r w:rsidDel="00000000" w:rsidR="00000000" w:rsidRPr="00000000">
        <w:rPr>
          <w:rtl w:val="0"/>
        </w:rPr>
        <w:t xml:space="preserve">Paul is an early architect of a Gentile-expanding movement in a world moving toward, and then living after, the Temple’s destruction. In that historical environment, the temptation is obvious: if the cultic mechanism is inaccessible (or soon to become inaccessible) and the movement is going global, the system typically become portable. Paul’s solution, as received within later Christianity, is that the center of reconciliation is re-located into an atonement framework that functions independently of an operating altar system. The key methodological question is therefore plain and non-inflammatory: the Torah does not teach that, when the altar becomes inaccessible, a later event becomes a lawful substitute that overwrites the prescribed cultic framework. The Torah states what it states: blood is given “upon the altar” for atonement (Leviticus 17:11, KJV). The prophets, meanwhile, call people to repentance and righteousness without announcing a new sacrificial substitute mechanism:</w:t>
      </w:r>
      <w:r w:rsidDel="00000000" w:rsidR="00000000" w:rsidRPr="00000000">
        <w:rPr>
          <w:rtl w:val="0"/>
        </w:rPr>
      </w:r>
    </w:p>
    <w:p w:rsidR="00000000" w:rsidDel="00000000" w:rsidP="00000000" w:rsidRDefault="00000000" w:rsidRPr="00000000" w14:paraId="00000116">
      <w:pPr>
        <w:spacing w:after="120" w:line="276" w:lineRule="auto"/>
        <w:rPr>
          <w:rFonts w:ascii="Times New Roman" w:cs="Times New Roman" w:eastAsia="Times New Roman" w:hAnsi="Times New Roman"/>
          <w:sz w:val="24"/>
          <w:szCs w:val="24"/>
        </w:rPr>
      </w:pPr>
      <w:r w:rsidDel="00000000" w:rsidR="00000000" w:rsidRPr="00000000">
        <w:rPr>
          <w:rtl w:val="0"/>
        </w:rPr>
        <w:t xml:space="preserve">Jesus himself affirms continuity with the Law—</w:t>
      </w:r>
      <w:r w:rsidDel="00000000" w:rsidR="00000000" w:rsidRPr="00000000">
        <w:rPr>
          <w:rtl w:val="0"/>
        </w:rPr>
      </w:r>
    </w:p>
    <w:p w:rsidR="00000000" w:rsidDel="00000000" w:rsidP="00000000" w:rsidRDefault="00000000" w:rsidRPr="00000000" w14:paraId="00000117">
      <w:pPr>
        <w:spacing w:after="120" w:line="276" w:lineRule="auto"/>
        <w:rPr>
          <w:rFonts w:ascii="Times New Roman" w:cs="Times New Roman" w:eastAsia="Times New Roman" w:hAnsi="Times New Roman"/>
          <w:sz w:val="24"/>
          <w:szCs w:val="24"/>
        </w:rPr>
      </w:pPr>
      <w:r w:rsidDel="00000000" w:rsidR="00000000" w:rsidRPr="00000000">
        <w:rPr>
          <w:rtl w:val="0"/>
        </w:rPr>
        <w:t xml:space="preserve">And he does not frame faithfulness as lawlessness; he warns against it:</w:t>
      </w:r>
      <w:r w:rsidDel="00000000" w:rsidR="00000000" w:rsidRPr="00000000">
        <w:rPr>
          <w:rtl w:val="0"/>
        </w:rPr>
      </w:r>
    </w:p>
    <w:p w:rsidR="00000000" w:rsidDel="00000000" w:rsidP="00000000" w:rsidRDefault="00000000" w:rsidRPr="00000000" w14:paraId="00000118">
      <w:pPr>
        <w:spacing w:after="120" w:line="276" w:lineRule="auto"/>
        <w:rPr>
          <w:rFonts w:ascii="Times New Roman" w:cs="Times New Roman" w:eastAsia="Times New Roman" w:hAnsi="Times New Roman"/>
          <w:sz w:val="24"/>
          <w:szCs w:val="24"/>
        </w:rPr>
      </w:pPr>
      <w:r w:rsidDel="00000000" w:rsidR="00000000" w:rsidRPr="00000000">
        <w:rPr>
          <w:rtl w:val="0"/>
        </w:rPr>
        <w:t xml:space="preserve">Whatever later Christian theology concludes, these baseline texts do not read like a straightforward Torah authorization for replacing the altar mechanism with a new metaphysical engine. The distinction is structural: the replacement engine is interpretive rather than legislated in Torah’s legal voice, emerging within early Christian reasoning and later doctrinal consolidation. That distinction matters because the essay’s thesis concerns prophetic continuity.</w:t>
      </w:r>
      <w:r w:rsidDel="00000000" w:rsidR="00000000" w:rsidRPr="00000000">
        <w:rPr>
          <w:rtl w:val="0"/>
        </w:rPr>
      </w:r>
    </w:p>
    <w:p w:rsidR="00000000" w:rsidDel="00000000" w:rsidP="00000000" w:rsidRDefault="00000000" w:rsidRPr="00000000" w14:paraId="00000119">
      <w:pPr>
        <w:spacing w:after="120" w:line="276" w:lineRule="auto"/>
        <w:rPr>
          <w:rFonts w:ascii="Times New Roman" w:cs="Times New Roman" w:eastAsia="Times New Roman" w:hAnsi="Times New Roman"/>
          <w:sz w:val="24"/>
          <w:szCs w:val="24"/>
        </w:rPr>
      </w:pPr>
      <w:r w:rsidDel="00000000" w:rsidR="00000000" w:rsidRPr="00000000">
        <w:rPr>
          <w:rtl w:val="0"/>
        </w:rPr>
        <w:t xml:space="preserve">If a post-Temple solution depends on constructing an engine that Torah does not explicitly authorize, the question becomes whether it represents faithful continuation or necessary reinterpretation. Christian Scripture does interpret Jesus’ death in redemptive terms. The claim here is narrower and structural: once the Torah’s altar mechanism becomes inoperable, a community either preserves under deprivation (Judaism), replaces through a new theological mechanism (dominant Pauline Christianity), or claims renewed guidance that restores a portable worship-law system (Islam).</w:t>
      </w:r>
      <w:r w:rsidDel="00000000" w:rsidR="00000000" w:rsidRPr="00000000">
        <w:rPr>
          <w:rtl w:val="0"/>
        </w:rPr>
      </w:r>
    </w:p>
    <w:p w:rsidR="00000000" w:rsidDel="00000000" w:rsidP="00000000" w:rsidRDefault="00000000" w:rsidRPr="00000000" w14:paraId="0000011A">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What Islam Claims to Correct in Narrative and Theology: Returning to Prophetic Monotheism</w:t>
      </w:r>
      <w:r w:rsidDel="00000000" w:rsidR="00000000" w:rsidRPr="00000000">
        <w:rPr>
          <w:rtl w:val="0"/>
        </w:rPr>
      </w:r>
    </w:p>
    <w:p w:rsidR="00000000" w:rsidDel="00000000" w:rsidP="00000000" w:rsidRDefault="00000000" w:rsidRPr="00000000" w14:paraId="0000011B">
      <w:pPr>
        <w:spacing w:after="120" w:line="276" w:lineRule="auto"/>
        <w:rPr>
          <w:rFonts w:ascii="Times New Roman" w:cs="Times New Roman" w:eastAsia="Times New Roman" w:hAnsi="Times New Roman"/>
          <w:sz w:val="24"/>
          <w:szCs w:val="24"/>
        </w:rPr>
      </w:pPr>
      <w:r w:rsidDel="00000000" w:rsidR="00000000" w:rsidRPr="00000000">
        <w:rPr>
          <w:rtl w:val="0"/>
        </w:rPr>
        <w:t xml:space="preserve">If Islam’s Furqān claim is that it functions as criterion and correction, that claim should be stated in concrete terms. Islam does not arrive to discard everything that came before. It argues that religious memory and theology can drift over time—by exaggeration, omission, or interpretive replacement—while still using Abrahamic vocabulary. Islam therefore presents itself as restoring the Abrahamic baseline: God is one, incomparable, not a man; worship is directed to Him alone; prophets are honored but not worshiped; repentance and obedience remain the center of religion; and guidance remains possible and portable even when sanctuary mechanisms are historically inaccessible. This restoration framework becomes especially relevant after 70 CE because the Temple rupture forces a structural question that cannot be avoided: whether God’s religion is dependent on a single physical mechanism, or whether God can sustain an operable worship-law life through revelation that travels across lands. Islam’s answer is that God sustains it through revealed guidance and prophetic practice. The Abrahamic Baseline: Worship Before Institutional Mechanism Becomes the Whole Story</w:t>
      </w:r>
      <w:r w:rsidDel="00000000" w:rsidR="00000000" w:rsidRPr="00000000">
        <w:rPr>
          <w:rtl w:val="0"/>
        </w:rPr>
      </w:r>
    </w:p>
    <w:p w:rsidR="00000000" w:rsidDel="00000000" w:rsidP="00000000" w:rsidRDefault="00000000" w:rsidRPr="00000000" w14:paraId="0000011C">
      <w:pPr>
        <w:spacing w:after="120" w:line="276" w:lineRule="auto"/>
        <w:rPr>
          <w:rFonts w:ascii="Times New Roman" w:cs="Times New Roman" w:eastAsia="Times New Roman" w:hAnsi="Times New Roman"/>
          <w:sz w:val="24"/>
          <w:szCs w:val="24"/>
        </w:rPr>
      </w:pPr>
      <w:r w:rsidDel="00000000" w:rsidR="00000000" w:rsidRPr="00000000">
        <w:rPr>
          <w:rtl w:val="0"/>
        </w:rPr>
        <w:t xml:space="preserve">The Torah and the prophets do not describe faith as an institutional machine first and foremost; they describe it as allegiance and obedience to the one God.</w:t>
      </w:r>
      <w:r w:rsidDel="00000000" w:rsidR="00000000" w:rsidRPr="00000000">
        <w:rPr>
          <w:rtl w:val="0"/>
        </w:rPr>
      </w:r>
    </w:p>
    <w:p w:rsidR="00000000" w:rsidDel="00000000" w:rsidP="00000000" w:rsidRDefault="00000000" w:rsidRPr="00000000" w14:paraId="0000011D">
      <w:pPr>
        <w:spacing w:after="120" w:line="276" w:lineRule="auto"/>
        <w:rPr>
          <w:rFonts w:ascii="Times New Roman" w:cs="Times New Roman" w:eastAsia="Times New Roman" w:hAnsi="Times New Roman"/>
          <w:sz w:val="24"/>
          <w:szCs w:val="24"/>
        </w:rPr>
      </w:pPr>
      <w:r w:rsidDel="00000000" w:rsidR="00000000" w:rsidRPr="00000000">
        <w:rPr>
          <w:rtl w:val="0"/>
        </w:rPr>
        <w:t xml:space="preserve">is not a minor regulation; it is the covenant’s first boundary.</w:t>
      </w:r>
      <w:r w:rsidDel="00000000" w:rsidR="00000000" w:rsidRPr="00000000">
        <w:rPr>
          <w:rtl w:val="0"/>
        </w:rPr>
      </w:r>
    </w:p>
    <w:p w:rsidR="00000000" w:rsidDel="00000000" w:rsidP="00000000" w:rsidRDefault="00000000" w:rsidRPr="00000000" w14:paraId="0000011E">
      <w:pPr>
        <w:spacing w:after="120" w:line="276" w:lineRule="auto"/>
        <w:rPr>
          <w:rFonts w:ascii="Times New Roman" w:cs="Times New Roman" w:eastAsia="Times New Roman" w:hAnsi="Times New Roman"/>
          <w:sz w:val="24"/>
          <w:szCs w:val="24"/>
        </w:rPr>
      </w:pPr>
      <w:r w:rsidDel="00000000" w:rsidR="00000000" w:rsidRPr="00000000">
        <w:rPr>
          <w:rtl w:val="0"/>
        </w:rPr>
        <w:t xml:space="preserve">defines identity through worship. The prophets, when confronting Israel’s collapse, do not respond by inventing a new atonement device; they call for repentance:</w:t>
      </w:r>
      <w:r w:rsidDel="00000000" w:rsidR="00000000" w:rsidRPr="00000000">
        <w:rPr>
          <w:rtl w:val="0"/>
        </w:rPr>
      </w:r>
    </w:p>
    <w:p w:rsidR="00000000" w:rsidDel="00000000" w:rsidP="00000000" w:rsidRDefault="00000000" w:rsidRPr="00000000" w14:paraId="0000011F">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is not “anti-sacrifice”; it is the hierarchy of prophetic religion: ritual without righteousness is empty. Islam’s corrective posture is that post-biblical theological developments can obscure this hierarchy by shifting the center of religion into metaphysical machinery—especially in ways that make obedience feel secondary or optional. Jesus’ preserved teaching resists that shift:</w:t>
      </w:r>
      <w:r w:rsidDel="00000000" w:rsidR="00000000" w:rsidRPr="00000000">
        <w:rPr>
          <w:rtl w:val="0"/>
        </w:rPr>
      </w:r>
    </w:p>
    <w:p w:rsidR="00000000" w:rsidDel="00000000" w:rsidP="00000000" w:rsidRDefault="00000000" w:rsidRPr="00000000" w14:paraId="00000120">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claims to restore a religion whose public center is obedience and worship, not just identity statements. Correction of Worship Direction: Honoring Prophets Without Redirecting Devotion A central category Islam claims to correct is the worship boundary. Scripture makes worship exclusivity decisive:</w:t>
      </w:r>
      <w:r w:rsidDel="00000000" w:rsidR="00000000" w:rsidRPr="00000000">
        <w:rPr>
          <w:rtl w:val="0"/>
        </w:rPr>
      </w:r>
    </w:p>
    <w:p w:rsidR="00000000" w:rsidDel="00000000" w:rsidP="00000000" w:rsidRDefault="00000000" w:rsidRPr="00000000" w14:paraId="00000121">
      <w:pPr>
        <w:spacing w:after="120" w:line="276" w:lineRule="auto"/>
        <w:rPr>
          <w:rFonts w:ascii="Times New Roman" w:cs="Times New Roman" w:eastAsia="Times New Roman" w:hAnsi="Times New Roman"/>
          <w:sz w:val="24"/>
          <w:szCs w:val="24"/>
        </w:rPr>
      </w:pPr>
      <w:r w:rsidDel="00000000" w:rsidR="00000000" w:rsidRPr="00000000">
        <w:rPr>
          <w:rtl w:val="0"/>
        </w:rPr>
        <w:t xml:space="preserve">And Jesus reiterates worship’s direction:</w:t>
      </w:r>
      <w:r w:rsidDel="00000000" w:rsidR="00000000" w:rsidRPr="00000000">
        <w:rPr>
          <w:rtl w:val="0"/>
        </w:rPr>
      </w:r>
    </w:p>
    <w:p w:rsidR="00000000" w:rsidDel="00000000" w:rsidP="00000000" w:rsidRDefault="00000000" w:rsidRPr="00000000" w14:paraId="00000122">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claims that later devotion can blur the worship boundary, even with good intentions, when prayer, invocation, or ultimate reliance is directed toward created beings. Islam’s correction is strict: prophets are honored and followed, but worship—prayer, sacrifice, vows, ultimate dependence—belongs only to God. This is why Islam is cautious with language that becomes theologically loaded, such as calling God “Father.” The concern is not word-policing; it is that, in later Christian theology, Father-language often becomes entangled with claims about divine sonship that reshape monotheism’s architecture. Islam blocks the category to protect exclusive worship and to keep Abrahamic monotheism from being reinterpreted into a different shape.</w:t>
      </w:r>
      <w:r w:rsidDel="00000000" w:rsidR="00000000" w:rsidRPr="00000000">
        <w:rPr>
          <w:rtl w:val="0"/>
        </w:rPr>
      </w:r>
    </w:p>
    <w:p w:rsidR="00000000" w:rsidDel="00000000" w:rsidP="00000000" w:rsidRDefault="00000000" w:rsidRPr="00000000" w14:paraId="00000123">
      <w:pPr>
        <w:spacing w:after="120" w:line="276" w:lineRule="auto"/>
        <w:rPr>
          <w:rFonts w:ascii="Times New Roman" w:cs="Times New Roman" w:eastAsia="Times New Roman" w:hAnsi="Times New Roman"/>
          <w:sz w:val="24"/>
          <w:szCs w:val="24"/>
        </w:rPr>
      </w:pPr>
      <w:r w:rsidDel="00000000" w:rsidR="00000000" w:rsidRPr="00000000">
        <w:rPr>
          <w:rtl w:val="0"/>
        </w:rPr>
        <w:t xml:space="preserve">God’s priority is repentance and righteousness, not the mere existence of ritual.</w:t>
      </w:r>
      <w:r w:rsidDel="00000000" w:rsidR="00000000" w:rsidRPr="00000000">
        <w:rPr>
          <w:rtl w:val="0"/>
        </w:rPr>
      </w:r>
    </w:p>
    <w:p w:rsidR="00000000" w:rsidDel="00000000" w:rsidP="00000000" w:rsidRDefault="00000000" w:rsidRPr="00000000" w14:paraId="00000124">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becomes relevant not because sacrifice was meaningless, but because the covenant’s center is not a ritual machine detached from moral obedience. Islam’s claim is that a post-Temple restoration must return to that center while still providing binding guidance for communal life. A major misconception the essay must address—especially for Christians unfamiliar with the biblical text—is the assumption that Muslims treat the Torah and New Testament as binding authority for Muslims. Islam does not. The Qur’an and prophetic tradition are the operative authority for worship and law. The Bible is cited in this study because the argument is being made inside the biblical world to show that the Bible’s own categories allow for widening guidance and nations-facing monotheism, and because Jesus’ preserved teaching functions as a useful reference point for continuity claims.</w:t>
      </w:r>
      <w:r w:rsidDel="00000000" w:rsidR="00000000" w:rsidRPr="00000000">
        <w:rPr>
          <w:rtl w:val="0"/>
        </w:rPr>
      </w:r>
    </w:p>
    <w:p w:rsidR="00000000" w:rsidDel="00000000" w:rsidP="00000000" w:rsidRDefault="00000000" w:rsidRPr="00000000" w14:paraId="00000125">
      <w:pPr>
        <w:spacing w:after="120" w:line="276" w:lineRule="auto"/>
        <w:rPr>
          <w:rFonts w:ascii="Times New Roman" w:cs="Times New Roman" w:eastAsia="Times New Roman" w:hAnsi="Times New Roman"/>
          <w:sz w:val="24"/>
          <w:szCs w:val="24"/>
        </w:rPr>
      </w:pPr>
      <w:r w:rsidDel="00000000" w:rsidR="00000000" w:rsidRPr="00000000">
        <w:rPr>
          <w:rtl w:val="0"/>
        </w:rPr>
        <w:t xml:space="preserve">Islam claims that the clearest fruit is restored public monotheistic worship at scale, not empire for its own sake. Why This “Correction” Claim Must Be Even-Handed This is where the essay’s tone must remain disciplined. The argument is strongest when it remains mechanical and scriptural rather than accusatory. Islam’s claim is not “Christians are bad” or “Jews are blind.” It is that after the altar becomes inoperable, different continuity models emerge; some preserve under deprivation, some replace through interpretive theology, and Islam claims restoration through conveyed revelation and portable law-worship life—returning religion to the Abrahamic baseline in a way that remains operable across the world. This prepares for the next comparison: placing Jesus and Muhammad in the same prophetic category (exclusive worship, repentance, obedience, conveyed guidance), and then contrasting that category with a post-Temple replacement engine—while applying the same biblical “false teacher/fruit” tests consistently and without sensational claims.</w:t>
      </w:r>
      <w:r w:rsidDel="00000000" w:rsidR="00000000" w:rsidRPr="00000000">
        <w:rPr>
          <w:rtl w:val="0"/>
        </w:rPr>
      </w:r>
    </w:p>
    <w:p w:rsidR="00000000" w:rsidDel="00000000" w:rsidP="00000000" w:rsidRDefault="00000000" w:rsidRPr="00000000" w14:paraId="00000126">
      <w:pPr>
        <w:pStyle w:val="Heading1"/>
        <w:spacing w:before="240" w:line="276" w:lineRule="auto"/>
        <w:rPr>
          <w:rFonts w:ascii="Times New Roman" w:cs="Times New Roman" w:eastAsia="Times New Roman" w:hAnsi="Times New Roman"/>
          <w:b w:val="1"/>
          <w:bCs w:val="1"/>
          <w:color w:val="366091"/>
          <w:sz w:val="26"/>
          <w:szCs w:val="26"/>
        </w:rPr>
      </w:pPr>
      <w:r w:rsidDel="00000000" w:rsidR="00000000" w:rsidRPr="00000000">
        <w:rPr>
          <w:rtl w:val="0"/>
        </w:rPr>
        <w:t xml:space="preserve">Fruit as Worship, Not Empire: Stewardship Transfer Without “Might Makes Right”</w:t>
      </w:r>
      <w:r w:rsidDel="00000000" w:rsidR="00000000" w:rsidRPr="00000000">
        <w:rPr>
          <w:rtl w:val="0"/>
        </w:rPr>
      </w:r>
    </w:p>
    <w:p w:rsidR="00000000" w:rsidDel="00000000" w:rsidP="00000000" w:rsidRDefault="00000000" w:rsidRPr="00000000" w14:paraId="00000127">
      <w:pPr>
        <w:spacing w:after="120" w:line="276" w:lineRule="auto"/>
        <w:rPr>
          <w:rFonts w:ascii="Times New Roman" w:cs="Times New Roman" w:eastAsia="Times New Roman" w:hAnsi="Times New Roman"/>
          <w:sz w:val="24"/>
          <w:szCs w:val="24"/>
        </w:rPr>
      </w:pPr>
      <w:r w:rsidDel="00000000" w:rsidR="00000000" w:rsidRPr="00000000">
        <w:rPr>
          <w:rtl w:val="0"/>
        </w:rPr>
        <w:t xml:space="preserve">Any argument that appeals to “fruit” risks collapsing into an obvious fallacy if it is not defined with precision. If fruit means mere political expansion or material dominance, then any empire could claim divine endorsement. That is not the biblical metric.</w:t>
      </w:r>
      <w:r w:rsidDel="00000000" w:rsidR="00000000" w:rsidRPr="00000000">
        <w:rPr>
          <w:rtl w:val="0"/>
        </w:rPr>
      </w:r>
    </w:p>
    <w:p w:rsidR="00000000" w:rsidDel="00000000" w:rsidP="00000000" w:rsidRDefault="00000000" w:rsidRPr="00000000" w14:paraId="00000128">
      <w:pPr>
        <w:spacing w:after="120" w:line="276" w:lineRule="auto"/>
        <w:rPr>
          <w:rFonts w:ascii="Times New Roman" w:cs="Times New Roman" w:eastAsia="Times New Roman" w:hAnsi="Times New Roman"/>
          <w:sz w:val="24"/>
          <w:szCs w:val="24"/>
        </w:rPr>
      </w:pPr>
      <w:r w:rsidDel="00000000" w:rsidR="00000000" w:rsidRPr="00000000">
        <w:rPr>
          <w:rtl w:val="0"/>
        </w:rPr>
        <w:t xml:space="preserve">Jesus’ own framing blocks that collapse. He does not treat fruit as a map. He treats it as the moral and worship output of a people.</w:t>
      </w:r>
      <w:r w:rsidDel="00000000" w:rsidR="00000000" w:rsidRPr="00000000">
        <w:rPr>
          <w:rtl w:val="0"/>
        </w:rPr>
      </w:r>
    </w:p>
    <w:p w:rsidR="00000000" w:rsidDel="00000000" w:rsidP="00000000" w:rsidRDefault="00000000" w:rsidRPr="00000000" w14:paraId="00000129">
      <w:pPr>
        <w:spacing w:after="120" w:line="276" w:lineRule="auto"/>
        <w:rPr>
          <w:rFonts w:ascii="Times New Roman" w:cs="Times New Roman" w:eastAsia="Times New Roman" w:hAnsi="Times New Roman"/>
          <w:sz w:val="24"/>
          <w:szCs w:val="24"/>
        </w:rPr>
      </w:pPr>
      <w:r w:rsidDel="00000000" w:rsidR="00000000" w:rsidRPr="00000000">
        <w:rPr>
          <w:rtl w:val="0"/>
        </w:rPr>
        <w:t xml:space="preserve">is immediately followed by the logic that good trees produce good fruit and bad trees produce bad fruit (Matthew 7:17–20, KJV). The fruit is what a life produces—obedience, righteousness, sincerity—not just what a state achieves. Likewise, when Jesus announces stewardship transfer—</w:t>
      </w:r>
      <w:r w:rsidDel="00000000" w:rsidR="00000000" w:rsidRPr="00000000">
        <w:rPr>
          <w:rtl w:val="0"/>
        </w:rPr>
      </w:r>
    </w:p>
    <w:p w:rsidR="00000000" w:rsidDel="00000000" w:rsidP="00000000" w:rsidRDefault="00000000" w:rsidRPr="00000000" w14:paraId="0000012A">
      <w:pPr>
        <w:spacing w:after="120" w:line="276" w:lineRule="auto"/>
        <w:rPr>
          <w:rFonts w:ascii="Times New Roman" w:cs="Times New Roman" w:eastAsia="Times New Roman" w:hAnsi="Times New Roman"/>
          <w:sz w:val="24"/>
          <w:szCs w:val="24"/>
        </w:rPr>
      </w:pPr>
      <w:r w:rsidDel="00000000" w:rsidR="00000000" w:rsidRPr="00000000">
        <w:rPr>
          <w:rtl w:val="0"/>
        </w:rPr>
        <w:t xml:space="preserve">He is not praising political genius. He is issuing a covenantal judgment: a community entrusted with divine stewardship is being evaluated by what it produces in relation to God’s will. This is why the essay insists on a liturgical and obedience definition of fruit. In prophetic religion, the most measurable fruit is not architecture, wealth, or borders. The most measurable fruit is worship: who receives devotion, who is invoked for divine help, what the public life of prayer looks like, and whether idolatry is extinguished or institutionalized. This is consistent with the Torah and prophets, which repeatedly frame history’s religious contest as a contest of worship. The first commandment is not political—it is liturgical:</w:t>
      </w:r>
      <w:r w:rsidDel="00000000" w:rsidR="00000000" w:rsidRPr="00000000">
        <w:rPr>
          <w:rtl w:val="0"/>
        </w:rPr>
      </w:r>
    </w:p>
    <w:p w:rsidR="00000000" w:rsidDel="00000000" w:rsidP="00000000" w:rsidRDefault="00000000" w:rsidRPr="00000000" w14:paraId="0000012B">
      <w:pPr>
        <w:spacing w:after="120" w:line="276" w:lineRule="auto"/>
        <w:rPr>
          <w:rFonts w:ascii="Times New Roman" w:cs="Times New Roman" w:eastAsia="Times New Roman" w:hAnsi="Times New Roman"/>
          <w:sz w:val="24"/>
          <w:szCs w:val="24"/>
        </w:rPr>
      </w:pPr>
      <w:r w:rsidDel="00000000" w:rsidR="00000000" w:rsidRPr="00000000">
        <w:rPr>
          <w:rtl w:val="0"/>
        </w:rPr>
        <w:t xml:space="preserve">The Shema (Israel’s core confession of one God) is not a state slogan—it is worship identity:</w:t>
      </w:r>
      <w:r w:rsidDel="00000000" w:rsidR="00000000" w:rsidRPr="00000000">
        <w:rPr>
          <w:rtl w:val="0"/>
        </w:rPr>
      </w:r>
    </w:p>
    <w:p w:rsidR="00000000" w:rsidDel="00000000" w:rsidP="00000000" w:rsidRDefault="00000000" w:rsidRPr="00000000" w14:paraId="0000012C">
      <w:pPr>
        <w:spacing w:after="120" w:line="276" w:lineRule="auto"/>
        <w:rPr>
          <w:rFonts w:ascii="Times New Roman" w:cs="Times New Roman" w:eastAsia="Times New Roman" w:hAnsi="Times New Roman"/>
          <w:sz w:val="24"/>
          <w:szCs w:val="24"/>
        </w:rPr>
      </w:pPr>
      <w:r w:rsidDel="00000000" w:rsidR="00000000" w:rsidRPr="00000000">
        <w:rPr>
          <w:rtl w:val="0"/>
        </w:rPr>
        <w:t xml:space="preserve">And the prophets do not measure a nation’s faithfulness by its prosperity; they measure it by whether it serves God or idols. Isaiah’s nations-horizon is explicitly anti-idolatry. The prophetic expectation is that the spread of true guidance will expose idols as powerless and shame those who trust them:</w:t>
      </w:r>
      <w:r w:rsidDel="00000000" w:rsidR="00000000" w:rsidRPr="00000000">
        <w:rPr>
          <w:rtl w:val="0"/>
        </w:rPr>
      </w:r>
    </w:p>
    <w:p w:rsidR="00000000" w:rsidDel="00000000" w:rsidP="00000000" w:rsidRDefault="00000000" w:rsidRPr="00000000" w14:paraId="0000012D">
      <w:pPr>
        <w:spacing w:after="120" w:line="276" w:lineRule="auto"/>
        <w:rPr>
          <w:rFonts w:ascii="Times New Roman" w:cs="Times New Roman" w:eastAsia="Times New Roman" w:hAnsi="Times New Roman"/>
          <w:sz w:val="24"/>
          <w:szCs w:val="24"/>
        </w:rPr>
      </w:pPr>
      <w:r w:rsidDel="00000000" w:rsidR="00000000" w:rsidRPr="00000000">
        <w:rPr>
          <w:rtl w:val="0"/>
        </w:rPr>
        <w:t xml:space="preserve">Isaiah relentlessly attacks the logic of idol-making because the decisive issue is worship—what the heart and the body bow to, and whether devotion is divided (Isaiah 44:9–20, KJV). Under this prophetic logic, “fruit” is not the splendor of a civilization. It is the restoration and maintenance of exclusive worship of the one God. This also aligns with Jesus’ own insistence that worship is reserved for God alone:</w:t>
      </w:r>
      <w:r w:rsidDel="00000000" w:rsidR="00000000" w:rsidRPr="00000000">
        <w:rPr>
          <w:rtl w:val="0"/>
        </w:rPr>
      </w:r>
    </w:p>
    <w:p w:rsidR="00000000" w:rsidDel="00000000" w:rsidP="00000000" w:rsidRDefault="00000000" w:rsidRPr="00000000" w14:paraId="0000012E">
      <w:pPr>
        <w:spacing w:after="120" w:line="276" w:lineRule="auto"/>
        <w:rPr>
          <w:rFonts w:ascii="Times New Roman" w:cs="Times New Roman" w:eastAsia="Times New Roman" w:hAnsi="Times New Roman"/>
          <w:sz w:val="24"/>
          <w:szCs w:val="24"/>
        </w:rPr>
      </w:pPr>
      <w:r w:rsidDel="00000000" w:rsidR="00000000" w:rsidRPr="00000000">
        <w:rPr>
          <w:rtl w:val="0"/>
        </w:rPr>
        <w:t xml:space="preserve">That statement functions as a safeguard: even if religious movements achieve cultural influence, they are judged by whether they preserve exclusive devotion to God. A movement that spreads but reintroduces mediator-worship or divided devotion cannot claim prophetic fruit by biblical standards, because the prophets treat idolatry as the central betrayal. Therefore the essay proposes an “idol-free zone” metric—not in a simplistic or triumphalist way, but as a theologically coherent measure of fruit. If a post-Temple continuation is real, its fruit should be visible in public worship patterns: the displacement of idols, the re-centering of prayer on the God of Abraham, and the establishment of a stable obedience-centered way of life. Fruit is liturgical because biblical religion is liturgical. It is behavioral because biblical monotheism is not just conceptual; it is enacted. This definition also protects the essay from a common rebuttal: “Many religions spread, many empires expand.” That rebuttal works only if the argument is about power. But if the argument is about worship, the comparison changes. A large polity that remains polytheistic does not satisfy</w:t>
      </w:r>
      <w:r w:rsidDel="00000000" w:rsidR="00000000" w:rsidRPr="00000000">
        <w:rPr>
          <w:rtl w:val="0"/>
        </w:rPr>
      </w:r>
    </w:p>
    <w:p w:rsidR="00000000" w:rsidDel="00000000" w:rsidP="00000000" w:rsidRDefault="00000000" w:rsidRPr="00000000" w14:paraId="0000012F">
      <w:pPr>
        <w:spacing w:after="120" w:line="276" w:lineRule="auto"/>
        <w:rPr>
          <w:rFonts w:ascii="Times New Roman" w:cs="Times New Roman" w:eastAsia="Times New Roman" w:hAnsi="Times New Roman"/>
          <w:sz w:val="24"/>
          <w:szCs w:val="24"/>
        </w:rPr>
      </w:pPr>
      <w:r w:rsidDel="00000000" w:rsidR="00000000" w:rsidRPr="00000000">
        <w:rPr>
          <w:rtl w:val="0"/>
        </w:rPr>
        <w:t xml:space="preserve">Isaiah’s idol-shaming horizon. A civilization that preserves monotheism only in theory while public devotion is divided among multiple worship-receiving figures does not satisfy the prophetic baseline of exclusive devotion. The relevant fruit is the creation and preservation of a community whose public worship is oriented to the God of Abraham alone. Under this definition, Islam’s historical claim becomes intelligible without collapsing into “might makes right.” Islam’s fruit is not that Muslims once ruled vast territories; it is that Islam established a durable, public, law-governed worship life oriented to one God, structured around daily prayer, repentance, fasting, almsgiving, and pilgrimage—an enacted monotheism that, in wide regions, displaced idolatry and normalized exclusive worship. That is a theological fruit, not an imperial boast. It is measurable in worship behavior: the forehead on the ground, the daily orientation to God, the refusal to direct prayer to anyone else, and the creation of a stable communal life regulated by worship and law. This is also where the post-Temple argument tightens. The Temple rupture removes the altar mechanism that anchored a key part of Torah practice. A post-Temple continuation that claims to be restoration should not be evaluated by whether it built a large state. It should be evaluated by whether it restored the prophetic baseline in an operable form: exclusive worship, repentance and obedience, and a public worship-life that can be practiced universally without dependence on a sanctuary altar. That is why “fruit” must be defined this way; otherwise the argument becomes vulnerable to the simplest possible mockery—“McDonald’s is everywhere, so it must be true”—and the entire thesis is reduced to absurdity. In sum, the essay’s fruit criterion is not an appeal to power. It is an appeal to the prophetic measurement of religion: worship and obedience. (KJV)</w:t>
      </w:r>
      <w:r w:rsidDel="00000000" w:rsidR="00000000" w:rsidRPr="00000000">
        <w:rPr>
          <w:rtl w:val="0"/>
        </w:rPr>
      </w:r>
    </w:p>
    <w:p w:rsidR="00000000" w:rsidDel="00000000" w:rsidP="00000000" w:rsidRDefault="00000000" w:rsidRPr="00000000" w14:paraId="00000130">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“By their fruit you will recognize them” (Matthew 7:16, KJV)</w:t>
      </w:r>
      <w:r w:rsidDel="00000000" w:rsidR="00000000" w:rsidRPr="00000000">
        <w:rPr>
          <w:rtl w:val="0"/>
        </w:rPr>
      </w:r>
    </w:p>
    <w:p w:rsidR="00000000" w:rsidDel="00000000" w:rsidP="00000000" w:rsidRDefault="00000000" w:rsidRPr="00000000" w14:paraId="00000131">
      <w:pPr>
        <w:spacing w:after="120" w:line="276" w:lineRule="auto"/>
        <w:rPr>
          <w:rFonts w:ascii="Times New Roman" w:cs="Times New Roman" w:eastAsia="Times New Roman" w:hAnsi="Times New Roman"/>
          <w:sz w:val="24"/>
          <w:szCs w:val="24"/>
        </w:rPr>
      </w:pPr>
      <w:r w:rsidDel="00000000" w:rsidR="00000000" w:rsidRPr="00000000">
        <w:rPr>
          <w:rtl w:val="0"/>
        </w:rPr>
        <w:t xml:space="preserve">becomes, in this view, a test of what a tradition actually produces in public devotion to the God of Abraham after the institutional rupture of 70 CE. Once that test is defined correctly, the essay can proceed to compare post-Temple engines without polemic: Judaism’s preservation under rupture, Christianity’s atonement-centered replacement logic, and Islam’s restoration claim grounded in conveyed revelation and portable law-worship practice.</w:t>
      </w:r>
      <w:r w:rsidDel="00000000" w:rsidR="00000000" w:rsidRPr="00000000">
        <w:rPr>
          <w:rtl w:val="0"/>
        </w:rPr>
      </w:r>
    </w:p>
    <w:p w:rsidR="00000000" w:rsidDel="00000000" w:rsidP="00000000" w:rsidRDefault="00000000" w:rsidRPr="00000000" w14:paraId="00000132">
      <w:pPr>
        <w:pStyle w:val="Heading1"/>
        <w:spacing w:before="240" w:line="276" w:lineRule="auto"/>
        <w:rPr>
          <w:rFonts w:ascii="Times New Roman" w:cs="Times New Roman" w:eastAsia="Times New Roman" w:hAnsi="Times New Roman"/>
          <w:b w:val="1"/>
          <w:bCs w:val="1"/>
          <w:color w:val="366091"/>
          <w:sz w:val="26"/>
          <w:szCs w:val="26"/>
        </w:rPr>
      </w:pPr>
      <w:bookmarkStart w:colFirst="0" w:colLast="0" w:name="_rto8089a26wl" w:id="0"/>
      <w:bookmarkEnd w:id="0"/>
      <w:r w:rsidDel="00000000" w:rsidR="00000000" w:rsidRPr="00000000">
        <w:rPr>
          <w:rtl w:val="0"/>
        </w:rPr>
        <w:t xml:space="preserve">Conclusion: The Post-Temple Question and the Restoration Claim</w:t>
      </w:r>
      <w:r w:rsidDel="00000000" w:rsidR="00000000" w:rsidRPr="00000000">
        <w:rPr>
          <w:rtl w:val="0"/>
        </w:rPr>
      </w:r>
    </w:p>
    <w:p w:rsidR="00000000" w:rsidDel="00000000" w:rsidP="00000000" w:rsidRDefault="00000000" w:rsidRPr="00000000" w14:paraId="00000133">
      <w:pPr>
        <w:spacing w:after="120" w:line="276" w:lineRule="auto"/>
        <w:rPr>
          <w:rFonts w:ascii="Times New Roman" w:cs="Times New Roman" w:eastAsia="Times New Roman" w:hAnsi="Times New Roman"/>
          <w:sz w:val="24"/>
          <w:szCs w:val="24"/>
        </w:rPr>
      </w:pPr>
      <w:r w:rsidDel="00000000" w:rsidR="00000000" w:rsidRPr="00000000">
        <w:rPr>
          <w:rtl w:val="0"/>
        </w:rPr>
        <w:t xml:space="preserve">The essay’s argument is ultimately a single story. For centuries, Israel’s prescribed worship and atonement life centered on a functioning sanctuary. In 70 CE, that system became inoperable in history. Scripture does not treat such a rupture as impossible, and it does not suggest that God abandons guidance. Rather, the prophets and Daniel anticipate disruption and transfer, while Jesus frames legitimacy by obedience, worship purity, and fruit.</w:t>
      </w:r>
      <w:r w:rsidDel="00000000" w:rsidR="00000000" w:rsidRPr="00000000">
        <w:rPr>
          <w:rtl w:val="0"/>
        </w:rPr>
      </w:r>
    </w:p>
    <w:p w:rsidR="00000000" w:rsidDel="00000000" w:rsidP="00000000" w:rsidRDefault="00000000" w:rsidRPr="00000000" w14:paraId="00000134">
      <w:pPr>
        <w:spacing w:after="120" w:line="276" w:lineRule="auto"/>
        <w:rPr>
          <w:rFonts w:ascii="Times New Roman" w:cs="Times New Roman" w:eastAsia="Times New Roman" w:hAnsi="Times New Roman"/>
          <w:sz w:val="24"/>
          <w:szCs w:val="24"/>
        </w:rPr>
      </w:pPr>
      <w:r w:rsidDel="00000000" w:rsidR="00000000" w:rsidRPr="00000000">
        <w:rPr>
          <w:rtl w:val="0"/>
        </w:rPr>
        <w:t xml:space="preserve">Read as a cumulative silhouette rather than a rigid map, the Bible contains a textual room for widened guidance: a nations-facing horizon, a law-bearing public outcome, and an anti-idolatry fruit that can be recognized in history. Islam’s claim is that it restores the baseline prophetic category—exclusive worship of the one God of Abraham, repentance, and obedience—through conveyed revelation and a portable worship-law practice.</w:t>
      </w:r>
      <w:r w:rsidDel="00000000" w:rsidR="00000000" w:rsidRPr="00000000">
        <w:rPr>
          <w:rtl w:val="0"/>
        </w:rPr>
      </w:r>
    </w:p>
    <w:p w:rsidR="00000000" w:rsidDel="00000000" w:rsidP="00000000" w:rsidRDefault="00000000" w:rsidRPr="00000000" w14:paraId="00000135">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framing also clarifies the post-Temple divergence. Rabbinic Judaism preserves covenant life under deprivation. Pauline Christianity constructs a replacement-style continuity model centered on atonement articulated through apostolic interpretation. Islam presents itself as restoration: the Qur’an and prophetic tradition as operative authority for worship and law after the altar’s loss, with “fruit” defined not by empire but by enduring, public monotheistic devotion. Given the rupture, the comparison asks which claim best preserves operable Abrahamic worship without inventing a new cultic substitute.</w:t>
      </w:r>
      <w:r w:rsidDel="00000000" w:rsidR="00000000" w:rsidRPr="00000000">
        <w:rPr>
          <w:rtl w:val="0"/>
        </w:rPr>
      </w:r>
    </w:p>
    <w:p w:rsidR="00000000" w:rsidDel="00000000" w:rsidP="00000000" w:rsidRDefault="00000000" w:rsidRPr="00000000" w14:paraId="00000136">
      <w:pPr>
        <w:spacing w:after="120" w:line="276" w:lineRule="auto"/>
        <w:rPr>
          <w:rFonts w:ascii="Times New Roman" w:cs="Times New Roman" w:eastAsia="Times New Roman" w:hAnsi="Times New Roman"/>
          <w:sz w:val="24"/>
          <w:szCs w:val="24"/>
        </w:rPr>
      </w:pPr>
      <w:r w:rsidDel="00000000" w:rsidR="00000000" w:rsidRPr="00000000">
        <w:rPr>
          <w:rtl w:val="0"/>
        </w:rPr>
        <w:t xml:space="preserve">A final note is important for tone and intent. This study is not written to coerce belief, weaponize texts, or score sectarian points. Many readers encounter Islam first through political headlines, cultural caricature, or inherited polemics. The invitation here is simpler: if the post-Temple problem is real, and if the Qur’an presents itself as conveyed revelation restoring the prophetic baseline, then fairness requires examining Islam at its sources rather than at its stereotypes.</w:t>
      </w:r>
      <w:r w:rsidDel="00000000" w:rsidR="00000000" w:rsidRPr="00000000">
        <w:rPr>
          <w:rtl w:val="0"/>
        </w:rPr>
      </w:r>
    </w:p>
    <w:p w:rsidR="00000000" w:rsidDel="00000000" w:rsidP="00000000" w:rsidRDefault="00000000" w:rsidRPr="00000000" w14:paraId="00000137">
      <w:pPr>
        <w:spacing w:after="120" w:before="12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t xml:space="preserve">“There shall be no compulsion in [acceptance of] the religion. The right course has become clear from the wrong. So whoever disbelieves in tāghūt and believes in Allah has grasped the most trustworthy handhold with no break in it. And Allah is Hearing and Knowing.” (Qur’an 2:256, Sahih International)</w:t>
      </w:r>
      <w:r w:rsidDel="00000000" w:rsidR="00000000" w:rsidRPr="00000000">
        <w:rPr>
          <w:rtl w:val="0"/>
        </w:rPr>
      </w:r>
    </w:p>
    <w:p w:rsidR="00000000" w:rsidDel="00000000" w:rsidP="00000000" w:rsidRDefault="00000000" w:rsidRPr="00000000" w14:paraId="00000138">
      <w:pPr>
        <w:spacing w:after="120" w:line="276" w:lineRule="auto"/>
        <w:rPr>
          <w:rFonts w:ascii="Times New Roman" w:cs="Times New Roman" w:eastAsia="Times New Roman" w:hAnsi="Times New Roman"/>
          <w:sz w:val="24"/>
          <w:szCs w:val="24"/>
        </w:rPr>
      </w:pPr>
      <w:r w:rsidDel="00000000" w:rsidR="00000000" w:rsidRPr="00000000">
        <w:rPr>
          <w:rtl w:val="0"/>
        </w:rPr>
        <w:t xml:space="preserve">This is not presented as a modern concession; it is presented as a consequence of what revelation claims to be: guidance and warning that clarifies, calls, and persuades. The essay’s claim is not that Muslims have always lived up to this perfectly, but that the system’s stated baseline is worship directed to God and moral accountability before Him, not conversion by compulsion.</w:t>
      </w:r>
      <w:r w:rsidDel="00000000" w:rsidR="00000000" w:rsidRPr="00000000">
        <w:rPr>
          <w:rtl w:val="0"/>
        </w:rPr>
      </w:r>
    </w:p>
    <w:p w:rsidR="00000000" w:rsidDel="00000000" w:rsidP="00000000" w:rsidRDefault="00000000" w:rsidRPr="00000000" w14:paraId="00000139">
      <w:pPr>
        <w:spacing w:after="120" w:line="276" w:lineRule="auto"/>
        <w:rPr>
          <w:rFonts w:ascii="Times New Roman" w:cs="Times New Roman" w:eastAsia="Times New Roman" w:hAnsi="Times New Roman"/>
          <w:sz w:val="24"/>
          <w:szCs w:val="24"/>
        </w:rPr>
      </w:pPr>
      <w:r w:rsidDel="00000000" w:rsidR="00000000" w:rsidRPr="00000000">
        <w:rPr>
          <w:rtl w:val="0"/>
        </w:rPr>
        <w:t xml:space="preserve">The conclusion follows the comparison’s stated terms. If the post-Temple rupture is real, and if Islam presents itself as restoring the prophetic baseline rather than replacing it with a new cultic mechanism, then it should be evaluated on what it actually claims and requires. The analysis therefore returns to its opening question: how a religion formed around altar-based sacrifice can remain practicable once the altar is gone. The post-70 world forced that question on every Abrahamic tradition. This study has argued that Islam presents itself as a coherent answer to that rupture—preserving worship, repentance, law, and prophetic monotheism without dependence on a Temple that history removed.</w:t>
      </w:r>
      <w:r w:rsidDel="00000000" w:rsidR="00000000" w:rsidRPr="00000000">
        <w:rPr>
          <w:rtl w:val="0"/>
        </w:rPr>
      </w:r>
    </w:p>
    <w:p w:rsidR="00000000" w:rsidDel="00000000" w:rsidP="00000000" w:rsidRDefault="00000000" w:rsidRPr="00000000" w14:paraId="0000013A">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kCFlzpfAxwkYHd1Tdtkkf8fsFV9AUgiD4aQrL42eCd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