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Geldium Delinquency Risk Report – AI-Powered Insights &amp; Recommendations</w:t>
      </w:r>
    </w:p>
    <w:p>
      <w:pPr>
        <w:pStyle w:val="Heading2"/>
      </w:pPr>
      <w:r>
        <w:t>1. Summary of Predictive Insights</w:t>
      </w:r>
    </w:p>
    <w:p>
      <w:r>
        <w:t>Based on our EDA and predictive model, we identified key customer segments and risk drivers that significantly contribute to 30+ day credit card delinquency.</w:t>
      </w:r>
    </w:p>
    <w:p>
      <w:r>
        <w:t>High-Risk Customer Segment:</w:t>
      </w:r>
    </w:p>
    <w:p>
      <w:r>
        <w:t>• Customers under 30 with credit utilization &gt; 70% and two or more missed payments.</w:t>
        <w:br/>
        <w:t>• Customers not enrolled in auto-pay and with inconsistent income patterns.</w:t>
        <w:br/>
        <w:t>• Customers with debt-to-income ratios above 0.6.</w:t>
      </w:r>
    </w:p>
    <w:p>
      <w:r>
        <w:t>Top 3 Risk Factors:</w:t>
      </w:r>
    </w:p>
    <w:p>
      <w:r>
        <w:t>1. High credit utilization ratio (above 70%)</w:t>
        <w:br/>
        <w:t>2. History of missed payments (2+ in past 12 months)</w:t>
        <w:br/>
        <w:t>3. Low or volatile income (as indicated by DTI &gt; 0.6)</w:t>
      </w:r>
    </w:p>
    <w:p>
      <w:pPr>
        <w:pStyle w:val="Heading2"/>
      </w:pPr>
      <w:r>
        <w:t>2. Recommendation Framework</w:t>
      </w:r>
    </w:p>
    <w:p>
      <w:r>
        <w:t>📌 SMART Recommendation:</w:t>
      </w:r>
    </w:p>
    <w:p>
      <w:r>
        <w:t>Launch a 6-week SMS and email campaign targeting high-risk customers identified by the model, offering personalized payment plan options and educational resources on credit management. Aim to reduce 30+ day delinquency by 12% within the campaign period.</w:t>
      </w:r>
    </w:p>
    <w:p>
      <w:r>
        <w:t>Rationale:</w:t>
      </w:r>
    </w:p>
    <w:p>
      <w:r>
        <w:t>This initiative is specific (targets high-risk customers), measurable (12% reduction goal), actionable (leverages existing outreach channels), relevant (supports Collections’ delinquency reduction goal), and time-bound (6-week duration). It aligns with Geldium’s mission to improve financial well-being while enhancing operational efficiency.</w:t>
      </w:r>
    </w:p>
    <w:p>
      <w:pPr>
        <w:pStyle w:val="Heading2"/>
      </w:pPr>
      <w:r>
        <w:t>3. Ethical &amp; Responsible AI Considerations</w:t>
      </w:r>
    </w:p>
    <w:p>
      <w:r>
        <w:t>Fairness Risks &amp; Mitigation:</w:t>
      </w:r>
    </w:p>
    <w:p>
      <w:r>
        <w:t>• Risk 1: Age bias – Younger customers may be overrepresented as high risk due to lower credit history. Mitigation: Ensure model uses age-neutral indicators like repayment consistency.</w:t>
        <w:br/>
        <w:t>• Risk 2: Income-based bias – Volatile income may disproportionately affect certain socioeconomic groups. Mitigation: Regularly audit model fairness using demographic parity and equal opportunity metrics.</w:t>
      </w:r>
    </w:p>
    <w:p>
      <w:r>
        <w:t>Explainability Approach:</w:t>
      </w:r>
    </w:p>
    <w:p>
      <w:r>
        <w:t>Model predictions will be supported with plain-language summaries explaining key contributing features (e.g., "Your credit utilization is above 70%, which has historically increased risk"). Logistic regression was selected for its transparency and regulatory compliance.</w:t>
      </w:r>
    </w:p>
    <w:p>
      <w:r>
        <w:t>Responsible Use:</w:t>
      </w:r>
    </w:p>
    <w:p>
      <w:r>
        <w:t>Our strategy prioritizes supportive actions (education, payment plans) over punitive measures, fostering customer trust and long-term engagement.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