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C89B3C"/>
          <w:sz w:val="19"/>
        </w:rPr>
        <w:t>DATA SPACE ANALYSIS RECORD</w:t>
      </w:r>
    </w:p>
    <w:p>
      <w:pPr>
        <w:spacing w:after="60"/>
        <w:pBdr>
          <w:bottom w:val="single" w:sz="20" w:space="2" w:color="C89B3C"/>
        </w:pBdr>
      </w:pPr>
      <w:r>
        <w:rPr>
          <w:rFonts w:ascii="Calibri" w:hAnsi="Calibri"/>
          <w:b/>
          <w:color w:val="16233D"/>
          <w:sz w:val="44"/>
        </w:rPr>
        <w:t>DS-«nn»  ·  «Country / Data Space Name»</w:t>
      </w:r>
    </w:p>
    <w:p>
      <w:pPr>
        <w:spacing w:after="180" w:before="0" w:line="276" w:lineRule="auto"/>
      </w:pPr>
      <w:r>
        <w:rPr>
          <w:rFonts w:ascii="Calibri" w:hAnsi="Calibri"/>
          <w:b w:val="0"/>
          <w:i w:val="0"/>
          <w:color w:val="52514E"/>
          <w:sz w:val="19"/>
        </w:rPr>
        <w:t>One record per data space. 28 records make up the analysis baseline for the DC1 consolidation: the migration backlog, the parity-test basis, and the input to the 28-data-space DataKit template. A data space does not enter Phase 1 build until this record reaches status 50 · Validated.</w:t>
      </w:r>
    </w:p>
    <w:tbl>
      <w:tblPr>
        <w:tblW w:type="auto" w:w="0"/>
        <w:jc w:val="left"/>
        <w:tblLayout w:type="fixed"/>
        <w:tblLook w:firstColumn="1" w:firstRow="1" w:lastColumn="0" w:lastRow="0" w:noHBand="0" w:noVBand="1" w:val="04A0"/>
      </w:tblPr>
      <w:tblGrid>
        <w:gridCol w:w="3420"/>
        <w:gridCol w:w="3420"/>
        <w:gridCol w:w="3420"/>
        <w:gridCol w:w="3420"/>
      </w:tblGrid>
      <w:tr>
        <w:tc>
          <w:tcPr>
            <w:tcW w:type="dxa" w:w="256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Field</w:t>
            </w:r>
          </w:p>
        </w:tc>
        <w:tc>
          <w:tcPr>
            <w:tcW w:type="dxa" w:w="444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Value</w:t>
            </w:r>
          </w:p>
        </w:tc>
        <w:tc>
          <w:tcPr>
            <w:tcW w:type="dxa" w:w="239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Field</w:t>
            </w:r>
          </w:p>
        </w:tc>
        <w:tc>
          <w:tcPr>
            <w:tcW w:type="dxa" w:w="427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Value</w:t>
            </w:r>
          </w:p>
        </w:tc>
      </w:tr>
      <w:tr>
        <w:tc>
          <w:tcPr>
            <w:tcW w:type="dxa" w:w="256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Data space ID</w:t>
            </w:r>
          </w:p>
        </w:tc>
        <w:tc>
          <w:tcPr>
            <w:tcW w:type="dxa" w:w="444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DS-«nn»</w:t>
            </w:r>
          </w:p>
        </w:tc>
        <w:tc>
          <w:tcPr>
            <w:tcW w:type="dxa" w:w="23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Record status</w:t>
            </w:r>
          </w:p>
        </w:tc>
        <w:tc>
          <w:tcPr>
            <w:tcW w:type="dxa" w:w="427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«00 / 10 / 20 / 30 / 40 / 50»</w:t>
            </w:r>
          </w:p>
        </w:tc>
      </w:tr>
      <w:tr>
        <w:tc>
          <w:tcPr>
            <w:tcW w:type="dxa" w:w="256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Country / market</w:t>
            </w:r>
          </w:p>
        </w:tc>
        <w:tc>
          <w:tcPr>
            <w:tcW w:type="dxa" w:w="444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239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Analysis batch</w:t>
            </w:r>
          </w:p>
        </w:tc>
        <w:tc>
          <w:tcPr>
            <w:tcW w:type="dxa" w:w="427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«Pilot / 2 / 3 / 4»</w:t>
            </w:r>
          </w:p>
        </w:tc>
      </w:tr>
      <w:tr>
        <w:tc>
          <w:tcPr>
            <w:tcW w:type="dxa" w:w="256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Source org</w:t>
            </w:r>
          </w:p>
        </w:tc>
        <w:tc>
          <w:tcPr>
            <w:tcW w:type="dxa" w:w="444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«MBCRM / OCRM / CAC / MBM»</w:t>
            </w:r>
          </w:p>
        </w:tc>
        <w:tc>
          <w:tcPr>
            <w:tcW w:type="dxa" w:w="23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Stream</w:t>
            </w:r>
          </w:p>
        </w:tc>
        <w:tc>
          <w:tcPr>
            <w:tcW w:type="dxa" w:w="427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«1 / 2 / 3»</w:t>
            </w:r>
          </w:p>
        </w:tc>
      </w:tr>
      <w:tr>
        <w:tc>
          <w:tcPr>
            <w:tcW w:type="dxa" w:w="256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Source org alias (CLI)</w:t>
            </w:r>
          </w:p>
        </w:tc>
        <w:tc>
          <w:tcPr>
            <w:tcW w:type="dxa" w:w="444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«sf org alias used for extracts»</w:t>
            </w:r>
          </w:p>
        </w:tc>
        <w:tc>
          <w:tcPr>
            <w:tcW w:type="dxa" w:w="239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Source API version</w:t>
            </w:r>
          </w:p>
        </w:tc>
        <w:tc>
          <w:tcPr>
            <w:tcW w:type="dxa" w:w="427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«e.g. 64.0 — note any version-specific behaviour»</w:t>
            </w:r>
          </w:p>
        </w:tc>
      </w:tr>
      <w:tr>
        <w:tc>
          <w:tcPr>
            <w:tcW w:type="dxa" w:w="256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Legacy Data Cloud?</w:t>
            </w:r>
          </w:p>
        </w:tc>
        <w:tc>
          <w:tcPr>
            <w:tcW w:type="dxa" w:w="444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«Yes — lift &amp; shift / No — model intake»</w:t>
            </w:r>
          </w:p>
        </w:tc>
        <w:tc>
          <w:tcPr>
            <w:tcW w:type="dxa" w:w="23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Divergent?</w:t>
            </w:r>
          </w:p>
        </w:tc>
        <w:tc>
          <w:tcPr>
            <w:tcW w:type="dxa" w:w="427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«No / Yes — see §12»</w:t>
            </w:r>
          </w:p>
        </w:tc>
      </w:tr>
      <w:tr>
        <w:tc>
          <w:tcPr>
            <w:tcW w:type="dxa" w:w="256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MB data owner</w:t>
            </w:r>
          </w:p>
        </w:tc>
        <w:tc>
          <w:tcPr>
            <w:tcW w:type="dxa" w:w="444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«name, role»</w:t>
            </w:r>
          </w:p>
        </w:tc>
        <w:tc>
          <w:tcPr>
            <w:tcW w:type="dxa" w:w="239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SF analyst</w:t>
            </w:r>
          </w:p>
        </w:tc>
        <w:tc>
          <w:tcPr>
            <w:tcW w:type="dxa" w:w="427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«name»</w:t>
            </w:r>
          </w:p>
        </w:tc>
      </w:tr>
      <w:tr>
        <w:tc>
          <w:tcPr>
            <w:tcW w:type="dxa" w:w="256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MC business unit(s)</w:t>
            </w:r>
          </w:p>
        </w:tc>
        <w:tc>
          <w:tcPr>
            <w:tcW w:type="dxa" w:w="444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23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SF lead architect</w:t>
            </w:r>
          </w:p>
        </w:tc>
        <w:tc>
          <w:tcPr>
            <w:tcW w:type="dxa" w:w="427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«name»</w:t>
            </w:r>
          </w:p>
        </w:tc>
      </w:tr>
      <w:tr>
        <w:tc>
          <w:tcPr>
            <w:tcW w:type="dxa" w:w="256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Analysis start</w:t>
            </w:r>
          </w:p>
        </w:tc>
        <w:tc>
          <w:tcPr>
            <w:tcW w:type="dxa" w:w="444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«dd Mon yy»</w:t>
            </w:r>
          </w:p>
        </w:tc>
        <w:tc>
          <w:tcPr>
            <w:tcW w:type="dxa" w:w="239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Record signed</w:t>
            </w:r>
          </w:p>
        </w:tc>
        <w:tc>
          <w:tcPr>
            <w:tcW w:type="dxa" w:w="427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«dd Mon yy»</w:t>
            </w:r>
          </w:p>
        </w:tc>
      </w:tr>
      <w:tr>
        <w:tc>
          <w:tcPr>
            <w:tcW w:type="dxa" w:w="256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Target go-live wave</w:t>
            </w:r>
          </w:p>
        </w:tc>
        <w:tc>
          <w:tcPr>
            <w:tcW w:type="dxa" w:w="444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«CAC+MBM W25–26 / MBCRM+OCRM W30–33»</w:t>
            </w:r>
          </w:p>
        </w:tc>
        <w:tc>
          <w:tcPr>
            <w:tcW w:type="dxa" w:w="23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Version</w:t>
            </w:r>
          </w:p>
        </w:tc>
        <w:tc>
          <w:tcPr>
            <w:tcW w:type="dxa" w:w="427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«1.1»</w:t>
            </w:r>
          </w:p>
        </w:tc>
      </w:tr>
    </w:tbl>
    <w:p>
      <w:pPr>
        <w:spacing w:after="160"/>
      </w:pPr>
    </w:p>
    <w:tbl>
      <w:tblPr>
        <w:tblW w:type="auto" w:w="0"/>
        <w:tblLayout w:type="fixed"/>
        <w:tblLook w:firstColumn="1" w:firstRow="1" w:lastColumn="0" w:lastRow="0" w:noHBand="0" w:noVBand="1" w:val="04A0"/>
      </w:tblPr>
      <w:tblGrid>
        <w:gridCol w:w="13680"/>
      </w:tblGrid>
      <w:tr>
        <w:tc>
          <w:tcPr>
            <w:tcW w:type="dxa" w:w="13680"/>
            <w:shd w:val="clear" w:color="auto" w:fill="ECEAE4"/>
            <w:tcBorders>
              <w:top w:val="nil"/>
              <w:left w:val="nil"/>
              <w:bottom w:val="nil"/>
              <w:right w:val="nil"/>
            </w:tcBorders>
            <w:tcBorders>
              <w:left w:val="single" w:sz="18" w:color="C89B3C"/>
            </w:tcBorders>
          </w:tcPr>
          <w:p>
            <w:pPr>
              <w:spacing w:after="40"/>
            </w:pPr>
            <w:r/>
            <w:r>
              <w:rPr>
                <w:rFonts w:ascii="Calibri" w:hAnsi="Calibri"/>
                <w:b/>
                <w:color w:val="16233D"/>
                <w:sz w:val="19"/>
              </w:rPr>
              <w:t>How to use this template</w:t>
            </w:r>
          </w:p>
          <w:p>
            <w:pPr>
              <w:spacing w:after="40" w:line="264" w:lineRule="auto"/>
            </w:pPr>
            <w:r>
              <w:rPr>
                <w:rFonts w:ascii="Calibri" w:hAnsi="Calibri"/>
                <w:color w:val="52514E"/>
                <w:sz w:val="17"/>
              </w:rPr>
              <w:t>Complete every section. Sections marked MANDATORY block status 30 or 50 if left blank — they are the fields the migration and continuity playbooks depend on. Delete the grey italic guidance lines (▸) as you complete each section. Where a value is genuinely not applicable, write “N/A” and the reason — never leave a mandatory cell empty, because empty reads as ‘not yet analysed’. Add rows to any table as needed. Attach raw metadata extracts as the evidence pack rather than pasting them inline.</w:t>
            </w:r>
          </w:p>
        </w:tc>
      </w:tr>
    </w:tbl>
    <w:p>
      <w:pPr>
        <w:spacing w:after="40"/>
      </w:pPr>
    </w:p>
    <w:tbl>
      <w:tblPr>
        <w:tblW w:type="auto" w:w="0"/>
        <w:tblLayout w:type="fixed"/>
        <w:tblLook w:firstColumn="1" w:firstRow="1" w:lastColumn="0" w:lastRow="0" w:noHBand="0" w:noVBand="1" w:val="04A0"/>
      </w:tblPr>
      <w:tblGrid>
        <w:gridCol w:w="13680"/>
      </w:tblGrid>
      <w:tr>
        <w:tc>
          <w:tcPr>
            <w:tcW w:type="dxa" w:w="13680"/>
            <w:shd w:val="clear" w:color="auto" w:fill="EAF0F7"/>
            <w:tcBorders>
              <w:top w:val="nil"/>
              <w:left w:val="nil"/>
              <w:bottom w:val="nil"/>
              <w:right w:val="nil"/>
            </w:tcBorders>
            <w:tcBorders>
              <w:left w:val="single" w:sz="18" w:color="16233D"/>
            </w:tcBorders>
          </w:tcPr>
          <w:p>
            <w:pPr>
              <w:spacing w:after="40"/>
            </w:pPr>
            <w:r/>
            <w:r>
              <w:rPr>
                <w:rFonts w:ascii="Calibri" w:hAnsi="Calibri"/>
                <w:b/>
                <w:color w:val="16233D"/>
                <w:sz w:val="19"/>
              </w:rPr>
              <w:t>Two rules that make this record machine-actionable</w:t>
            </w:r>
          </w:p>
          <w:p>
            <w:pPr>
              <w:spacing w:after="40" w:line="264" w:lineRule="auto"/>
            </w:pPr>
            <w:r>
              <w:rPr>
                <w:rFonts w:ascii="Calibri" w:hAnsi="Calibri"/>
                <w:color w:val="52514E"/>
                <w:sz w:val="17"/>
              </w:rPr>
              <w:t>1 · API NAMES, NOT LABELS. Every inventory table has an API / developer name column. Labels are for humans; every CLI command, every JSON definition file and every cross-org collision check keys on the API name (including the __dlm / __dll suffixes). A row without an API name cannot be built from.</w:t>
              <w:br/>
              <w:t>2 · REBUILD PATH FOR EVERY MIGRATED OBJECT. ‘Migrate? Y’ is only half an answer. State HOW: DATAKIT (packaged and deployed), CLI JSON (a definition file — see the deliverable column below), or MANUAL UI (rebuilt by hand because the object is not CLI- or kit-supported). Manual UI rows are the effort drivers of the whole programme; an unstated rebuild path blocks status 30.</w:t>
            </w:r>
          </w:p>
        </w:tc>
      </w:tr>
    </w:tbl>
    <w:p>
      <w:pPr>
        <w:spacing w:after="40"/>
      </w:pPr>
    </w:p>
    <w:p>
      <w:pPr>
        <w:spacing w:after="120"/>
      </w:pPr>
    </w:p>
    <w:p>
      <w:pPr>
        <w:spacing w:after="60" w:before="0" w:line="259" w:lineRule="auto"/>
      </w:pPr>
      <w:r>
        <w:rPr>
          <w:rFonts w:ascii="Calibri" w:hAnsi="Calibri"/>
          <w:b/>
          <w:i w:val="0"/>
          <w:color w:val="16233D"/>
          <w:sz w:val="19"/>
        </w:rPr>
        <w:t>Machine-readable deliverable per object class</w:t>
      </w:r>
    </w:p>
    <w:p>
      <w:pPr>
        <w:spacing w:after="100" w:line="252" w:lineRule="auto"/>
      </w:pPr>
      <w:r>
        <w:rPr>
          <w:rFonts w:ascii="Calibri" w:hAnsi="Calibri"/>
          <w:i/>
          <w:color w:val="898781"/>
          <w:sz w:val="17"/>
        </w:rPr>
        <w:t>▸ Each section below produces a definition artefact as well as a narrative. Name the file in the evidence pack (§12.6) so the build team can deploy from the record rather than re-interpret it.</w:t>
      </w:r>
    </w:p>
    <w:tbl>
      <w:tblPr>
        <w:tblW w:type="auto" w:w="0"/>
        <w:jc w:val="left"/>
        <w:tblLayout w:type="fixed"/>
        <w:tblLook w:firstColumn="1" w:firstRow="1" w:lastColumn="0" w:lastRow="0" w:noHBand="0" w:noVBand="1" w:val="04A0"/>
      </w:tblPr>
      <w:tblGrid>
        <w:gridCol w:w="3420"/>
        <w:gridCol w:w="3420"/>
        <w:gridCol w:w="3420"/>
        <w:gridCol w:w="3420"/>
      </w:tblGrid>
      <w:tr>
        <w:tc>
          <w:tcPr>
            <w:tcW w:type="dxa" w:w="77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w:t>
            </w:r>
          </w:p>
        </w:tc>
        <w:tc>
          <w:tcPr>
            <w:tcW w:type="dxa" w:w="388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Object class</w:t>
            </w:r>
          </w:p>
        </w:tc>
        <w:tc>
          <w:tcPr>
            <w:tcW w:type="dxa" w:w="668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Definition artefact</w:t>
            </w:r>
          </w:p>
        </w:tc>
        <w:tc>
          <w:tcPr>
            <w:tcW w:type="dxa" w:w="233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Phase</w:t>
            </w:r>
          </w:p>
        </w:tc>
      </w:tr>
      <w:tr>
        <w:tc>
          <w:tcPr>
            <w:tcW w:type="dxa" w:w="77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2</w:t>
            </w:r>
          </w:p>
        </w:tc>
        <w:tc>
          <w:tcPr>
            <w:tcW w:type="dxa" w:w="388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Data streams &amp; source connections</w:t>
            </w:r>
          </w:p>
        </w:tc>
        <w:tc>
          <w:tcPr>
            <w:tcW w:type="dxa" w:w="668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data-stream.json  ·  connection (per connector type)</w:t>
            </w:r>
          </w:p>
        </w:tc>
        <w:tc>
          <w:tcPr>
            <w:tcW w:type="dxa" w:w="23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Connect / Prepare</w:t>
            </w:r>
          </w:p>
        </w:tc>
      </w:tr>
      <w:tr>
        <w:tc>
          <w:tcPr>
            <w:tcW w:type="dxa" w:w="77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3</w:t>
            </w:r>
          </w:p>
        </w:tc>
        <w:tc>
          <w:tcPr>
            <w:tcW w:type="dxa" w:w="388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Data lake objects</w:t>
            </w:r>
          </w:p>
        </w:tc>
        <w:tc>
          <w:tcPr>
            <w:tcW w:type="dxa" w:w="668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dlo extract  ·  transform definition</w:t>
            </w:r>
          </w:p>
        </w:tc>
        <w:tc>
          <w:tcPr>
            <w:tcW w:type="dxa" w:w="23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Prepare</w:t>
            </w:r>
          </w:p>
        </w:tc>
      </w:tr>
      <w:tr>
        <w:tc>
          <w:tcPr>
            <w:tcW w:type="dxa" w:w="77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4</w:t>
            </w:r>
          </w:p>
        </w:tc>
        <w:tc>
          <w:tcPr>
            <w:tcW w:type="dxa" w:w="388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DMOs, mappings, relationships</w:t>
            </w:r>
          </w:p>
        </w:tc>
        <w:tc>
          <w:tcPr>
            <w:tcW w:type="dxa" w:w="668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dmo.json  ·  mapping.json  ·  relationship.json</w:t>
            </w:r>
          </w:p>
        </w:tc>
        <w:tc>
          <w:tcPr>
            <w:tcW w:type="dxa" w:w="23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Harmonize</w:t>
            </w:r>
          </w:p>
        </w:tc>
      </w:tr>
      <w:tr>
        <w:tc>
          <w:tcPr>
            <w:tcW w:type="dxa" w:w="77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5</w:t>
            </w:r>
          </w:p>
        </w:tc>
        <w:tc>
          <w:tcPr>
            <w:tcW w:type="dxa" w:w="388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Identity resolution ruleset</w:t>
            </w:r>
          </w:p>
        </w:tc>
        <w:tc>
          <w:tcPr>
            <w:tcW w:type="dxa" w:w="668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identity-resolution.json</w:t>
            </w:r>
          </w:p>
        </w:tc>
        <w:tc>
          <w:tcPr>
            <w:tcW w:type="dxa" w:w="23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Harmonize</w:t>
            </w:r>
          </w:p>
        </w:tc>
      </w:tr>
      <w:tr>
        <w:tc>
          <w:tcPr>
            <w:tcW w:type="dxa" w:w="77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6</w:t>
            </w:r>
          </w:p>
        </w:tc>
        <w:tc>
          <w:tcPr>
            <w:tcW w:type="dxa" w:w="388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Calculated insights &amp; data graphs</w:t>
            </w:r>
          </w:p>
        </w:tc>
        <w:tc>
          <w:tcPr>
            <w:tcW w:type="dxa" w:w="668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calculated-insight.json  ·  data-graph.json</w:t>
            </w:r>
          </w:p>
        </w:tc>
        <w:tc>
          <w:tcPr>
            <w:tcW w:type="dxa" w:w="23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Harmonize / Segment</w:t>
            </w:r>
          </w:p>
        </w:tc>
      </w:tr>
      <w:tr>
        <w:tc>
          <w:tcPr>
            <w:tcW w:type="dxa" w:w="77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7</w:t>
            </w:r>
          </w:p>
        </w:tc>
        <w:tc>
          <w:tcPr>
            <w:tcW w:type="dxa" w:w="388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Segments</w:t>
            </w:r>
          </w:p>
        </w:tc>
        <w:tc>
          <w:tcPr>
            <w:tcW w:type="dxa" w:w="668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segment.json</w:t>
            </w:r>
          </w:p>
        </w:tc>
        <w:tc>
          <w:tcPr>
            <w:tcW w:type="dxa" w:w="23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Segment</w:t>
            </w:r>
          </w:p>
        </w:tc>
      </w:tr>
      <w:tr>
        <w:tc>
          <w:tcPr>
            <w:tcW w:type="dxa" w:w="77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8</w:t>
            </w:r>
          </w:p>
        </w:tc>
        <w:tc>
          <w:tcPr>
            <w:tcW w:type="dxa" w:w="388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Activations &amp; destinations</w:t>
            </w:r>
          </w:p>
        </w:tc>
        <w:tc>
          <w:tcPr>
            <w:tcW w:type="dxa" w:w="668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activation.json  ·  activation-target.json  ·  data-action.json  ·  data-action-target.json</w:t>
            </w:r>
          </w:p>
        </w:tc>
        <w:tc>
          <w:tcPr>
            <w:tcW w:type="dxa" w:w="23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Act</w:t>
            </w:r>
          </w:p>
        </w:tc>
      </w:tr>
      <w:tr>
        <w:tc>
          <w:tcPr>
            <w:tcW w:type="dxa" w:w="77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12</w:t>
            </w:r>
          </w:p>
        </w:tc>
        <w:tc>
          <w:tcPr>
            <w:tcW w:type="dxa" w:w="388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Retrieve &amp; AI consumers</w:t>
            </w:r>
          </w:p>
        </w:tc>
        <w:tc>
          <w:tcPr>
            <w:tcW w:type="dxa" w:w="668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search-index.json  ·  saved SQL / async query definitions</w:t>
            </w:r>
          </w:p>
        </w:tc>
        <w:tc>
          <w:tcPr>
            <w:tcW w:type="dxa" w:w="23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Retrieve</w:t>
            </w:r>
          </w:p>
        </w:tc>
      </w:tr>
    </w:tbl>
    <w:p>
      <w:pPr>
        <w:keepNext/>
        <w:spacing w:before="320" w:after="140"/>
        <w:pBdr>
          <w:bottom w:val="single" w:sz="12" w:space="2" w:color="16233D"/>
        </w:pBdr>
      </w:pPr>
      <w:r>
        <w:rPr>
          <w:rFonts w:ascii="Calibri" w:hAnsi="Calibri"/>
          <w:b/>
          <w:color w:val="C89B3C"/>
          <w:sz w:val="30"/>
        </w:rPr>
        <w:t xml:space="preserve">0    </w:t>
      </w:r>
      <w:r>
        <w:rPr>
          <w:rFonts w:ascii="Calibri" w:hAnsi="Calibri"/>
          <w:b/>
          <w:color w:val="16233D"/>
          <w:sz w:val="26"/>
        </w:rPr>
        <w:t>DATA SPACE DEFINITION</w:t>
      </w:r>
    </w:p>
    <w:p>
      <w:pPr>
        <w:spacing w:after="100" w:line="252" w:lineRule="auto"/>
      </w:pPr>
      <w:r>
        <w:rPr>
          <w:rFonts w:ascii="Calibri" w:hAnsi="Calibri"/>
          <w:i/>
          <w:color w:val="898781"/>
          <w:sz w:val="17"/>
        </w:rPr>
        <w:t>▸ The data space object itself — the container everything else sits in. Extract before anything else: the filters recorded here silently change what every downstream DLO, DMO and segment can see, so a filter missed at this stage surfaces as a segment-population parity failure months later.</w:t>
      </w:r>
    </w:p>
    <w:p>
      <w:pPr>
        <w:keepNext/>
        <w:spacing w:before="220" w:after="80"/>
      </w:pPr>
      <w:r>
        <w:rPr>
          <w:rFonts w:ascii="Calibri" w:hAnsi="Calibri"/>
          <w:b/>
          <w:color w:val="16233D"/>
          <w:sz w:val="21"/>
        </w:rPr>
        <w:t>0.1  Data space object</w:t>
      </w:r>
      <w:r>
        <w:rPr>
          <w:rFonts w:ascii="Calibri" w:hAnsi="Calibri"/>
          <w:i/>
          <w:color w:val="898781"/>
          <w:sz w:val="17"/>
        </w:rPr>
        <w:t xml:space="preserve">   MANDATORY</w:t>
      </w:r>
    </w:p>
    <w:tbl>
      <w:tblPr>
        <w:tblW w:type="auto" w:w="0"/>
        <w:jc w:val="left"/>
        <w:tblLayout w:type="fixed"/>
        <w:tblLook w:firstColumn="1" w:firstRow="1" w:lastColumn="0" w:lastRow="0" w:noHBand="0" w:noVBand="1" w:val="04A0"/>
      </w:tblPr>
      <w:tblGrid>
        <w:gridCol w:w="4560"/>
        <w:gridCol w:w="4560"/>
        <w:gridCol w:w="4560"/>
      </w:tblGrid>
      <w:tr>
        <w:tc>
          <w:tcPr>
            <w:tcW w:type="dxa" w:w="362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Attribute</w:t>
            </w:r>
          </w:p>
        </w:tc>
        <w:tc>
          <w:tcPr>
            <w:tcW w:type="dxa" w:w="446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Value</w:t>
            </w:r>
          </w:p>
        </w:tc>
        <w:tc>
          <w:tcPr>
            <w:tcW w:type="dxa" w:w="558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Note</w:t>
            </w:r>
          </w:p>
        </w:tc>
      </w:tr>
      <w:tr>
        <w:tc>
          <w:tcPr>
            <w:tcW w:type="dxa" w:w="362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Data space label</w:t>
            </w:r>
          </w:p>
        </w:tc>
        <w:tc>
          <w:tcPr>
            <w:tcW w:type="dxa" w:w="44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55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as shown in Data Cloud setup</w:t>
            </w:r>
          </w:p>
        </w:tc>
      </w:tr>
      <w:tr>
        <w:tc>
          <w:tcPr>
            <w:tcW w:type="dxa" w:w="362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Data space API name</w:t>
            </w:r>
          </w:p>
        </w:tc>
        <w:tc>
          <w:tcPr>
            <w:tcW w:type="dxa" w:w="44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55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MANDATORY — the key for every CLI call and definition file</w:t>
            </w:r>
          </w:p>
        </w:tc>
      </w:tr>
      <w:tr>
        <w:tc>
          <w:tcPr>
            <w:tcW w:type="dxa" w:w="362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Default or custom</w:t>
            </w:r>
          </w:p>
        </w:tc>
        <w:tc>
          <w:tcPr>
            <w:tcW w:type="dxa" w:w="44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«default / custom»</w:t>
            </w:r>
          </w:p>
        </w:tc>
        <w:tc>
          <w:tcPr>
            <w:tcW w:type="dxa" w:w="55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the default space cannot be renamed or deleted</w:t>
            </w:r>
          </w:p>
        </w:tc>
      </w:tr>
      <w:tr>
        <w:tc>
          <w:tcPr>
            <w:tcW w:type="dxa" w:w="362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Created / owner</w:t>
            </w:r>
          </w:p>
        </w:tc>
        <w:tc>
          <w:tcPr>
            <w:tcW w:type="dxa" w:w="44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55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362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Permission sets granting access</w:t>
            </w:r>
          </w:p>
        </w:tc>
        <w:tc>
          <w:tcPr>
            <w:tcW w:type="dxa" w:w="44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55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drives the companion-org permission model — see §7 callout</w:t>
            </w:r>
          </w:p>
        </w:tc>
      </w:tr>
      <w:tr>
        <w:tc>
          <w:tcPr>
            <w:tcW w:type="dxa" w:w="362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Users / profiles with access today</w:t>
            </w:r>
          </w:p>
        </w:tc>
        <w:tc>
          <w:tcPr>
            <w:tcW w:type="dxa" w:w="44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«count + roles»</w:t>
            </w:r>
          </w:p>
        </w:tc>
        <w:tc>
          <w:tcPr>
            <w:tcW w:type="dxa" w:w="55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who can author here today</w:t>
            </w:r>
          </w:p>
        </w:tc>
      </w:tr>
      <w:tr>
        <w:tc>
          <w:tcPr>
            <w:tcW w:type="dxa" w:w="362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Target data space in DC1 Home Org</w:t>
            </w:r>
          </w:p>
        </w:tc>
        <w:tc>
          <w:tcPr>
            <w:tcW w:type="dxa" w:w="44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«label + API name»</w:t>
            </w:r>
          </w:p>
        </w:tc>
        <w:tc>
          <w:tcPr>
            <w:tcW w:type="dxa" w:w="55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1:1, merged, or split — state which</w:t>
            </w:r>
          </w:p>
        </w:tc>
      </w:tr>
      <w:tr>
        <w:tc>
          <w:tcPr>
            <w:tcW w:type="dxa" w:w="362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Data kit membership</w:t>
            </w:r>
          </w:p>
        </w:tc>
        <w:tc>
          <w:tcPr>
            <w:tcW w:type="dxa" w:w="44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«kit name / none»</w:t>
            </w:r>
          </w:p>
        </w:tc>
        <w:tc>
          <w:tcPr>
            <w:tcW w:type="dxa" w:w="55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see §12.4</w:t>
            </w:r>
          </w:p>
        </w:tc>
      </w:tr>
    </w:tbl>
    <w:p>
      <w:pPr>
        <w:keepNext/>
        <w:spacing w:before="220" w:after="80"/>
      </w:pPr>
      <w:r>
        <w:rPr>
          <w:rFonts w:ascii="Calibri" w:hAnsi="Calibri"/>
          <w:b/>
          <w:color w:val="16233D"/>
          <w:sz w:val="21"/>
        </w:rPr>
        <w:t>0.2  Data space scope</w:t>
      </w:r>
      <w:r>
        <w:rPr>
          <w:rFonts w:ascii="Calibri" w:hAnsi="Calibri"/>
          <w:i/>
          <w:color w:val="898781"/>
          <w:sz w:val="17"/>
        </w:rPr>
        <w:t xml:space="preserve">   MANDATORY</w:t>
      </w:r>
    </w:p>
    <w:p>
      <w:pPr>
        <w:spacing w:after="100" w:line="252" w:lineRule="auto"/>
      </w:pPr>
      <w:r>
        <w:rPr>
          <w:rFonts w:ascii="Calibri" w:hAnsi="Calibri"/>
          <w:i/>
          <w:color w:val="898781"/>
          <w:sz w:val="17"/>
        </w:rPr>
        <w:t>▸ Which objects are scoped into this data space, and — critically — which data space FILTERS are applied. A filter is a permanent, invisible WHERE clause: reproduce it exactly in DC1 or the migrated space will hold a different population than the legacy one even when every object matches.</w:t>
      </w:r>
    </w:p>
    <w:tbl>
      <w:tblPr>
        <w:tblW w:type="auto" w:w="0"/>
        <w:jc w:val="left"/>
        <w:tblLayout w:type="fixed"/>
        <w:tblLook w:firstColumn="1" w:firstRow="1" w:lastColumn="0" w:lastRow="0" w:noHBand="0" w:noVBand="1" w:val="04A0"/>
      </w:tblPr>
      <w:tblGrid>
        <w:gridCol w:w="2736"/>
        <w:gridCol w:w="2736"/>
        <w:gridCol w:w="2736"/>
        <w:gridCol w:w="2736"/>
        <w:gridCol w:w="2736"/>
      </w:tblGrid>
      <w:tr>
        <w:tc>
          <w:tcPr>
            <w:tcW w:type="dxa" w:w="265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Scoped object</w:t>
            </w:r>
          </w:p>
        </w:tc>
        <w:tc>
          <w:tcPr>
            <w:tcW w:type="dxa" w:w="265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API name</w:t>
            </w:r>
          </w:p>
        </w:tc>
        <w:tc>
          <w:tcPr>
            <w:tcW w:type="dxa" w:w="153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Object type</w:t>
            </w:r>
          </w:p>
        </w:tc>
        <w:tc>
          <w:tcPr>
            <w:tcW w:type="dxa" w:w="460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Data space filter applied</w:t>
            </w:r>
          </w:p>
        </w:tc>
        <w:tc>
          <w:tcPr>
            <w:tcW w:type="dxa" w:w="223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Filter must be reproduced?</w:t>
            </w:r>
          </w:p>
        </w:tc>
      </w:tr>
      <w:tr>
        <w:tc>
          <w:tcPr>
            <w:tcW w:type="dxa" w:w="26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6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«DLO / DMO»</w:t>
            </w:r>
          </w:p>
        </w:tc>
        <w:tc>
          <w:tcPr>
            <w:tcW w:type="dxa" w:w="460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«filter expression, or none»</w:t>
            </w:r>
          </w:p>
        </w:tc>
        <w:tc>
          <w:tcPr>
            <w:tcW w:type="dxa" w:w="223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«Y/N — if N, say why»</w:t>
            </w:r>
          </w:p>
        </w:tc>
      </w:tr>
      <w:tr>
        <w:tc>
          <w:tcPr>
            <w:tcW w:type="dxa" w:w="26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6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460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23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26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6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460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23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26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6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460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23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26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6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460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23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26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6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460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23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bl>
    <w:p>
      <w:pPr>
        <w:keepNext/>
        <w:spacing w:before="220" w:after="80"/>
      </w:pPr>
      <w:r>
        <w:rPr>
          <w:rFonts w:ascii="Calibri" w:hAnsi="Calibri"/>
          <w:b/>
          <w:color w:val="16233D"/>
          <w:sz w:val="21"/>
        </w:rPr>
        <w:t>0.3  Extract provenance</w:t>
      </w:r>
    </w:p>
    <w:p>
      <w:pPr>
        <w:spacing w:after="100" w:line="252" w:lineRule="auto"/>
      </w:pPr>
      <w:r>
        <w:rPr>
          <w:rFonts w:ascii="Calibri" w:hAnsi="Calibri"/>
          <w:i/>
          <w:color w:val="898781"/>
          <w:sz w:val="17"/>
        </w:rPr>
        <w:t>▸ Records how the inventory in this document was obtained, so a reviewer can re-run it and get the same numbers. Note the org alias and the extraction date against each source.</w:t>
      </w:r>
    </w:p>
    <w:tbl>
      <w:tblPr>
        <w:tblW w:type="auto" w:w="0"/>
        <w:jc w:val="left"/>
        <w:tblLayout w:type="fixed"/>
        <w:tblLook w:firstColumn="1" w:firstRow="1" w:lastColumn="0" w:lastRow="0" w:noHBand="0" w:noVBand="1" w:val="04A0"/>
      </w:tblPr>
      <w:tblGrid>
        <w:gridCol w:w="3420"/>
        <w:gridCol w:w="3420"/>
        <w:gridCol w:w="3420"/>
        <w:gridCol w:w="3420"/>
      </w:tblGrid>
      <w:tr>
        <w:tc>
          <w:tcPr>
            <w:tcW w:type="dxa" w:w="335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Object class</w:t>
            </w:r>
          </w:p>
        </w:tc>
        <w:tc>
          <w:tcPr>
            <w:tcW w:type="dxa" w:w="446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How extracted</w:t>
            </w:r>
          </w:p>
        </w:tc>
        <w:tc>
          <w:tcPr>
            <w:tcW w:type="dxa" w:w="195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Extract date</w:t>
            </w:r>
          </w:p>
        </w:tc>
        <w:tc>
          <w:tcPr>
            <w:tcW w:type="dxa" w:w="390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Evidence file (§12.6)</w:t>
            </w:r>
          </w:p>
        </w:tc>
      </w:tr>
      <w:tr>
        <w:tc>
          <w:tcPr>
            <w:tcW w:type="dxa" w:w="335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Data space &amp; scope</w:t>
            </w:r>
          </w:p>
        </w:tc>
        <w:tc>
          <w:tcPr>
            <w:tcW w:type="dxa" w:w="44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«CLI / UI export / API»</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«dd Mon yy»</w:t>
            </w:r>
          </w:p>
        </w:tc>
        <w:tc>
          <w:tcPr>
            <w:tcW w:type="dxa" w:w="390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335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Streams &amp; connections</w:t>
            </w:r>
          </w:p>
        </w:tc>
        <w:tc>
          <w:tcPr>
            <w:tcW w:type="dxa" w:w="44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390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335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DLOs</w:t>
            </w:r>
          </w:p>
        </w:tc>
        <w:tc>
          <w:tcPr>
            <w:tcW w:type="dxa" w:w="44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390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335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DMOs &amp; mappings</w:t>
            </w:r>
          </w:p>
        </w:tc>
        <w:tc>
          <w:tcPr>
            <w:tcW w:type="dxa" w:w="44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390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335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IR ruleset</w:t>
            </w:r>
          </w:p>
        </w:tc>
        <w:tc>
          <w:tcPr>
            <w:tcW w:type="dxa" w:w="44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390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335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CIs &amp; data graphs</w:t>
            </w:r>
          </w:p>
        </w:tc>
        <w:tc>
          <w:tcPr>
            <w:tcW w:type="dxa" w:w="44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390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335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Segments</w:t>
            </w:r>
          </w:p>
        </w:tc>
        <w:tc>
          <w:tcPr>
            <w:tcW w:type="dxa" w:w="44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390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335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Activations</w:t>
            </w:r>
          </w:p>
        </w:tc>
        <w:tc>
          <w:tcPr>
            <w:tcW w:type="dxa" w:w="44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390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335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Retrieve / search indexes</w:t>
            </w:r>
          </w:p>
        </w:tc>
        <w:tc>
          <w:tcPr>
            <w:tcW w:type="dxa" w:w="44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390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bl>
    <w:p>
      <w:pPr>
        <w:keepNext/>
        <w:spacing w:before="320" w:after="140"/>
        <w:pBdr>
          <w:bottom w:val="single" w:sz="12" w:space="2" w:color="16233D"/>
        </w:pBdr>
      </w:pPr>
      <w:r>
        <w:rPr>
          <w:rFonts w:ascii="Calibri" w:hAnsi="Calibri"/>
          <w:b/>
          <w:color w:val="C89B3C"/>
          <w:sz w:val="30"/>
        </w:rPr>
        <w:t xml:space="preserve">1    </w:t>
      </w:r>
      <w:r>
        <w:rPr>
          <w:rFonts w:ascii="Calibri" w:hAnsi="Calibri"/>
          <w:b/>
          <w:color w:val="16233D"/>
          <w:sz w:val="26"/>
        </w:rPr>
        <w:t>SUMMARY &amp; MIGRATION DISPOSITION</w:t>
      </w:r>
    </w:p>
    <w:p>
      <w:pPr>
        <w:spacing w:after="100" w:line="252" w:lineRule="auto"/>
      </w:pPr>
      <w:r>
        <w:rPr>
          <w:rFonts w:ascii="Calibri" w:hAnsi="Calibri"/>
          <w:i/>
          <w:color w:val="898781"/>
          <w:sz w:val="17"/>
        </w:rPr>
        <w:t>▸ Written last, read first. Someone deciding whether this data space is safe to cut over should be able to read only this section.</w:t>
      </w:r>
    </w:p>
    <w:p>
      <w:pPr>
        <w:keepNext/>
        <w:spacing w:before="220" w:after="80"/>
      </w:pPr>
      <w:r>
        <w:rPr>
          <w:rFonts w:ascii="Calibri" w:hAnsi="Calibri"/>
          <w:b/>
          <w:color w:val="16233D"/>
          <w:sz w:val="21"/>
        </w:rPr>
        <w:t>1.1  Purpose of this data space</w:t>
      </w:r>
      <w:r>
        <w:rPr>
          <w:rFonts w:ascii="Calibri" w:hAnsi="Calibri"/>
          <w:i/>
          <w:color w:val="898781"/>
          <w:sz w:val="17"/>
        </w:rPr>
        <w:t xml:space="preserve">   MANDATORY</w:t>
      </w:r>
    </w:p>
    <w:p>
      <w:pPr>
        <w:spacing w:after="100" w:line="252" w:lineRule="auto"/>
      </w:pPr>
      <w:r>
        <w:rPr>
          <w:rFonts w:ascii="Calibri" w:hAnsi="Calibri"/>
          <w:i/>
          <w:color w:val="898781"/>
          <w:sz w:val="17"/>
        </w:rPr>
        <w:t>▸ 2–4 sentences: which market it serves, what business capability depends on it, which MC BUs and destinations consume it.</w:t>
      </w:r>
    </w:p>
    <w:p>
      <w:pPr>
        <w:spacing w:after="160" w:before="0" w:line="259" w:lineRule="auto"/>
      </w:pPr>
      <w:r>
        <w:rPr>
          <w:rFonts w:ascii="Calibri" w:hAnsi="Calibri"/>
          <w:b w:val="0"/>
          <w:i w:val="0"/>
          <w:sz w:val="19"/>
        </w:rPr>
        <w:t>«»</w:t>
      </w:r>
    </w:p>
    <w:p>
      <w:pPr>
        <w:keepNext/>
        <w:spacing w:before="220" w:after="80"/>
      </w:pPr>
      <w:r>
        <w:rPr>
          <w:rFonts w:ascii="Calibri" w:hAnsi="Calibri"/>
          <w:b/>
          <w:color w:val="16233D"/>
          <w:sz w:val="21"/>
        </w:rPr>
        <w:t>1.2  Migration disposition</w:t>
      </w:r>
      <w:r>
        <w:rPr>
          <w:rFonts w:ascii="Calibri" w:hAnsi="Calibri"/>
          <w:i/>
          <w:color w:val="898781"/>
          <w:sz w:val="17"/>
        </w:rPr>
        <w:t xml:space="preserve">   MANDATORY</w:t>
      </w:r>
    </w:p>
    <w:tbl>
      <w:tblPr>
        <w:tblW w:type="auto" w:w="0"/>
        <w:jc w:val="left"/>
        <w:tblLayout w:type="fixed"/>
        <w:tblLook w:firstColumn="1" w:firstRow="1" w:lastColumn="0" w:lastRow="0" w:noHBand="0" w:noVBand="1" w:val="04A0"/>
      </w:tblPr>
      <w:tblGrid>
        <w:gridCol w:w="4560"/>
        <w:gridCol w:w="4560"/>
        <w:gridCol w:w="4560"/>
      </w:tblGrid>
      <w:tr>
        <w:tc>
          <w:tcPr>
            <w:tcW w:type="dxa" w:w="376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Question</w:t>
            </w:r>
          </w:p>
        </w:tc>
        <w:tc>
          <w:tcPr>
            <w:tcW w:type="dxa" w:w="513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Answer</w:t>
            </w:r>
          </w:p>
        </w:tc>
        <w:tc>
          <w:tcPr>
            <w:tcW w:type="dxa" w:w="478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Evidence / note</w:t>
            </w:r>
          </w:p>
        </w:tc>
      </w:tr>
      <w:tr>
        <w:tc>
          <w:tcPr>
            <w:tcW w:type="dxa" w:w="376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Migration pattern</w:t>
            </w:r>
          </w:p>
        </w:tc>
        <w:tc>
          <w:tcPr>
            <w:tcW w:type="dxa" w:w="51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«Lift &amp; shift / Model intake / Lift &amp; shift + extension»</w:t>
            </w:r>
          </w:p>
        </w:tc>
        <w:tc>
          <w:tcPr>
            <w:tcW w:type="dxa" w:w="478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376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Objects to DROP (count + rationale)</w:t>
            </w:r>
          </w:p>
        </w:tc>
        <w:tc>
          <w:tcPr>
            <w:tcW w:type="dxa" w:w="51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478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«approver + date»</w:t>
            </w:r>
          </w:p>
        </w:tc>
      </w:tr>
      <w:tr>
        <w:tc>
          <w:tcPr>
            <w:tcW w:type="dxa" w:w="376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New fields added from CAC (EXT-2)</w:t>
            </w:r>
          </w:p>
        </w:tc>
        <w:tc>
          <w:tcPr>
            <w:tcW w:type="dxa" w:w="51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«count»</w:t>
            </w:r>
          </w:p>
        </w:tc>
        <w:tc>
          <w:tcPr>
            <w:tcW w:type="dxa" w:w="478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376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New fields added from MBM (EXT-2)</w:t>
            </w:r>
          </w:p>
        </w:tc>
        <w:tc>
          <w:tcPr>
            <w:tcW w:type="dxa" w:w="51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«count»</w:t>
            </w:r>
          </w:p>
        </w:tc>
        <w:tc>
          <w:tcPr>
            <w:tcW w:type="dxa" w:w="478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376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New DMOs required (EXT-3)</w:t>
            </w:r>
          </w:p>
        </w:tc>
        <w:tc>
          <w:tcPr>
            <w:tcW w:type="dxa" w:w="51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«count + names»</w:t>
            </w:r>
          </w:p>
        </w:tc>
        <w:tc>
          <w:tcPr>
            <w:tcW w:type="dxa" w:w="478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376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Objects requiring MANUAL UI rebuild</w:t>
            </w:r>
          </w:p>
        </w:tc>
        <w:tc>
          <w:tcPr>
            <w:tcW w:type="dxa" w:w="51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«count»</w:t>
            </w:r>
          </w:p>
        </w:tc>
        <w:tc>
          <w:tcPr>
            <w:tcW w:type="dxa" w:w="478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the effort driver — see §12.4</w:t>
            </w:r>
          </w:p>
        </w:tc>
      </w:tr>
      <w:tr>
        <w:tc>
          <w:tcPr>
            <w:tcW w:type="dxa" w:w="376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Estimated build effort</w:t>
            </w:r>
          </w:p>
        </w:tc>
        <w:tc>
          <w:tcPr>
            <w:tcW w:type="dxa" w:w="51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«PD»</w:t>
            </w:r>
          </w:p>
        </w:tc>
        <w:tc>
          <w:tcPr>
            <w:tcW w:type="dxa" w:w="478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«basis»</w:t>
            </w:r>
          </w:p>
        </w:tc>
      </w:tr>
      <w:tr>
        <w:tc>
          <w:tcPr>
            <w:tcW w:type="dxa" w:w="376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Go / no-go blockers</w:t>
            </w:r>
          </w:p>
        </w:tc>
        <w:tc>
          <w:tcPr>
            <w:tcW w:type="dxa" w:w="51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«none / list»</w:t>
            </w:r>
          </w:p>
        </w:tc>
        <w:tc>
          <w:tcPr>
            <w:tcW w:type="dxa" w:w="478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bl>
    <w:p>
      <w:pPr>
        <w:keepNext/>
        <w:spacing w:before="220" w:after="80"/>
      </w:pPr>
      <w:r>
        <w:rPr>
          <w:rFonts w:ascii="Calibri" w:hAnsi="Calibri"/>
          <w:b/>
          <w:color w:val="16233D"/>
          <w:sz w:val="21"/>
        </w:rPr>
        <w:t>1.3  Object reconciliation — all ten classes</w:t>
      </w:r>
      <w:r>
        <w:rPr>
          <w:rFonts w:ascii="Calibri" w:hAnsi="Calibri"/>
          <w:i/>
          <w:color w:val="898781"/>
          <w:sz w:val="17"/>
        </w:rPr>
        <w:t xml:space="preserve">   MANDATORY</w:t>
      </w:r>
    </w:p>
    <w:p>
      <w:pPr>
        <w:spacing w:after="100" w:line="252" w:lineRule="auto"/>
      </w:pPr>
      <w:r>
        <w:rPr>
          <w:rFonts w:ascii="Calibri" w:hAnsi="Calibri"/>
          <w:i/>
          <w:color w:val="898781"/>
          <w:sz w:val="17"/>
        </w:rPr>
        <w:t>▸ The control total for the whole record. ‘Extracted’ is the raw count from the metadata extract; ‘documented’ is the number of rows actually written into this record. If those two disagree, the record is incomplete regardless of how full it looks. Migrate + drop must equal documented. Fill this last, from the sections themselves — this is the check that catches a class quietly left out.</w:t>
      </w:r>
    </w:p>
    <w:tbl>
      <w:tblPr>
        <w:tblW w:type="auto" w:w="0"/>
        <w:jc w:val="left"/>
        <w:tblLayout w:type="fixed"/>
        <w:tblLook w:firstColumn="1" w:firstRow="1" w:lastColumn="0" w:lastRow="0" w:noHBand="0" w:noVBand="1" w:val="04A0"/>
      </w:tblPr>
      <w:tblGrid>
        <w:gridCol w:w="1244"/>
        <w:gridCol w:w="1244"/>
        <w:gridCol w:w="1244"/>
        <w:gridCol w:w="1244"/>
        <w:gridCol w:w="1244"/>
        <w:gridCol w:w="1244"/>
        <w:gridCol w:w="1244"/>
        <w:gridCol w:w="1244"/>
        <w:gridCol w:w="1244"/>
        <w:gridCol w:w="1244"/>
        <w:gridCol w:w="1244"/>
      </w:tblGrid>
      <w:tr>
        <w:tc>
          <w:tcPr>
            <w:tcW w:type="dxa" w:w="60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w:t>
            </w:r>
          </w:p>
        </w:tc>
        <w:tc>
          <w:tcPr>
            <w:tcW w:type="dxa" w:w="330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Object class</w:t>
            </w:r>
          </w:p>
        </w:tc>
        <w:tc>
          <w:tcPr>
            <w:tcW w:type="dxa" w:w="75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w:t>
            </w:r>
          </w:p>
        </w:tc>
        <w:tc>
          <w:tcPr>
            <w:tcW w:type="dxa" w:w="120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Extracted</w:t>
            </w:r>
          </w:p>
        </w:tc>
        <w:tc>
          <w:tcPr>
            <w:tcW w:type="dxa" w:w="135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Documented</w:t>
            </w:r>
          </w:p>
        </w:tc>
        <w:tc>
          <w:tcPr>
            <w:tcW w:type="dxa" w:w="105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Migrate</w:t>
            </w:r>
          </w:p>
        </w:tc>
        <w:tc>
          <w:tcPr>
            <w:tcW w:type="dxa" w:w="90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Drop</w:t>
            </w:r>
          </w:p>
        </w:tc>
        <w:tc>
          <w:tcPr>
            <w:tcW w:type="dxa" w:w="105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DataKit</w:t>
            </w:r>
          </w:p>
        </w:tc>
        <w:tc>
          <w:tcPr>
            <w:tcW w:type="dxa" w:w="105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CLI JSON</w:t>
            </w:r>
          </w:p>
        </w:tc>
        <w:tc>
          <w:tcPr>
            <w:tcW w:type="dxa" w:w="120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Manual UI</w:t>
            </w:r>
          </w:p>
        </w:tc>
        <w:tc>
          <w:tcPr>
            <w:tcW w:type="dxa" w:w="120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Reconciles?</w:t>
            </w:r>
          </w:p>
        </w:tc>
      </w:tr>
      <w:tr>
        <w:tc>
          <w:tcPr>
            <w:tcW w:type="dxa" w:w="60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0</w:t>
            </w:r>
          </w:p>
        </w:tc>
        <w:tc>
          <w:tcPr>
            <w:tcW w:type="dxa" w:w="330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Data space scope (DLO/DMO)</w:t>
            </w:r>
          </w:p>
        </w:tc>
        <w:tc>
          <w:tcPr>
            <w:tcW w:type="dxa" w:w="7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0.2</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«Y/N»</w:t>
            </w:r>
          </w:p>
        </w:tc>
      </w:tr>
      <w:tr>
        <w:tc>
          <w:tcPr>
            <w:tcW w:type="dxa" w:w="60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1</w:t>
            </w:r>
          </w:p>
        </w:tc>
        <w:tc>
          <w:tcPr>
            <w:tcW w:type="dxa" w:w="330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Data streams</w:t>
            </w:r>
          </w:p>
        </w:tc>
        <w:tc>
          <w:tcPr>
            <w:tcW w:type="dxa" w:w="7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2.1</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«Y/N»</w:t>
            </w:r>
          </w:p>
        </w:tc>
      </w:tr>
      <w:tr>
        <w:tc>
          <w:tcPr>
            <w:tcW w:type="dxa" w:w="60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2</w:t>
            </w:r>
          </w:p>
        </w:tc>
        <w:tc>
          <w:tcPr>
            <w:tcW w:type="dxa" w:w="330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Data lake objects</w:t>
            </w:r>
          </w:p>
        </w:tc>
        <w:tc>
          <w:tcPr>
            <w:tcW w:type="dxa" w:w="7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3.1</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«Y/N»</w:t>
            </w:r>
          </w:p>
        </w:tc>
      </w:tr>
      <w:tr>
        <w:tc>
          <w:tcPr>
            <w:tcW w:type="dxa" w:w="60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3</w:t>
            </w:r>
          </w:p>
        </w:tc>
        <w:tc>
          <w:tcPr>
            <w:tcW w:type="dxa" w:w="330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Data model objects</w:t>
            </w:r>
          </w:p>
        </w:tc>
        <w:tc>
          <w:tcPr>
            <w:tcW w:type="dxa" w:w="7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4.1</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«Y/N»</w:t>
            </w:r>
          </w:p>
        </w:tc>
      </w:tr>
      <w:tr>
        <w:tc>
          <w:tcPr>
            <w:tcW w:type="dxa" w:w="60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4</w:t>
            </w:r>
          </w:p>
        </w:tc>
        <w:tc>
          <w:tcPr>
            <w:tcW w:type="dxa" w:w="330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IR rulesets</w:t>
            </w:r>
          </w:p>
        </w:tc>
        <w:tc>
          <w:tcPr>
            <w:tcW w:type="dxa" w:w="7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5.1a</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«Y/N»</w:t>
            </w:r>
          </w:p>
        </w:tc>
      </w:tr>
      <w:tr>
        <w:tc>
          <w:tcPr>
            <w:tcW w:type="dxa" w:w="60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5</w:t>
            </w:r>
          </w:p>
        </w:tc>
        <w:tc>
          <w:tcPr>
            <w:tcW w:type="dxa" w:w="330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Calculated insights</w:t>
            </w:r>
          </w:p>
        </w:tc>
        <w:tc>
          <w:tcPr>
            <w:tcW w:type="dxa" w:w="7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6.1</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«Y/N»</w:t>
            </w:r>
          </w:p>
        </w:tc>
      </w:tr>
      <w:tr>
        <w:tc>
          <w:tcPr>
            <w:tcW w:type="dxa" w:w="60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5b</w:t>
            </w:r>
          </w:p>
        </w:tc>
        <w:tc>
          <w:tcPr>
            <w:tcW w:type="dxa" w:w="330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Data graphs</w:t>
            </w:r>
          </w:p>
        </w:tc>
        <w:tc>
          <w:tcPr>
            <w:tcW w:type="dxa" w:w="7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6.2</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«Y/N»</w:t>
            </w:r>
          </w:p>
        </w:tc>
      </w:tr>
      <w:tr>
        <w:tc>
          <w:tcPr>
            <w:tcW w:type="dxa" w:w="60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6</w:t>
            </w:r>
          </w:p>
        </w:tc>
        <w:tc>
          <w:tcPr>
            <w:tcW w:type="dxa" w:w="330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Segments</w:t>
            </w:r>
          </w:p>
        </w:tc>
        <w:tc>
          <w:tcPr>
            <w:tcW w:type="dxa" w:w="7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7.1</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«Y/N»</w:t>
            </w:r>
          </w:p>
        </w:tc>
      </w:tr>
      <w:tr>
        <w:tc>
          <w:tcPr>
            <w:tcW w:type="dxa" w:w="60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7</w:t>
            </w:r>
          </w:p>
        </w:tc>
        <w:tc>
          <w:tcPr>
            <w:tcW w:type="dxa" w:w="330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Activations</w:t>
            </w:r>
          </w:p>
        </w:tc>
        <w:tc>
          <w:tcPr>
            <w:tcW w:type="dxa" w:w="7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8.1</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«Y/N»</w:t>
            </w:r>
          </w:p>
        </w:tc>
      </w:tr>
      <w:tr>
        <w:tc>
          <w:tcPr>
            <w:tcW w:type="dxa" w:w="60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9</w:t>
            </w:r>
          </w:p>
        </w:tc>
        <w:tc>
          <w:tcPr>
            <w:tcW w:type="dxa" w:w="330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Downstream consumers</w:t>
            </w:r>
          </w:p>
        </w:tc>
        <w:tc>
          <w:tcPr>
            <w:tcW w:type="dxa" w:w="7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10.1</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«Y/N»</w:t>
            </w:r>
          </w:p>
        </w:tc>
      </w:tr>
      <w:tr>
        <w:tc>
          <w:tcPr>
            <w:tcW w:type="dxa" w:w="60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10</w:t>
            </w:r>
          </w:p>
        </w:tc>
        <w:tc>
          <w:tcPr>
            <w:tcW w:type="dxa" w:w="330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Retrieve / search indexes</w:t>
            </w:r>
          </w:p>
        </w:tc>
        <w:tc>
          <w:tcPr>
            <w:tcW w:type="dxa" w:w="7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12.2</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«Y/N»</w:t>
            </w:r>
          </w:p>
        </w:tc>
      </w:tr>
    </w:tbl>
    <w:p>
      <w:pPr>
        <w:spacing w:after="100" w:line="252" w:lineRule="auto"/>
      </w:pPr>
      <w:r>
        <w:rPr>
          <w:rFonts w:ascii="Calibri" w:hAnsi="Calibri"/>
          <w:i/>
          <w:color w:val="898781"/>
          <w:sz w:val="17"/>
        </w:rPr>
        <w:t>▸ Object classes 8 (consent) and the data space itself are not counted objects — they are recorded in §9 and §0 respectively. UNRESOLVED field dispositions are reconciled separately in §4.2 and must be zero at status 50.</w:t>
      </w:r>
    </w:p>
    <w:p>
      <w:pPr>
        <w:keepNext/>
        <w:spacing w:before="220" w:after="80"/>
      </w:pPr>
      <w:r>
        <w:rPr>
          <w:rFonts w:ascii="Calibri" w:hAnsi="Calibri"/>
          <w:b/>
          <w:color w:val="16233D"/>
          <w:sz w:val="21"/>
        </w:rPr>
        <w:t>1.4  Top three risks for this data space</w:t>
      </w:r>
    </w:p>
    <w:tbl>
      <w:tblPr>
        <w:tblW w:type="auto" w:w="0"/>
        <w:jc w:val="left"/>
        <w:tblLayout w:type="fixed"/>
        <w:tblLook w:firstColumn="1" w:firstRow="1" w:lastColumn="0" w:lastRow="0" w:noHBand="0" w:noVBand="1" w:val="04A0"/>
      </w:tblPr>
      <w:tblGrid>
        <w:gridCol w:w="2736"/>
        <w:gridCol w:w="2736"/>
        <w:gridCol w:w="2736"/>
        <w:gridCol w:w="2736"/>
        <w:gridCol w:w="2736"/>
      </w:tblGrid>
      <w:tr>
        <w:tc>
          <w:tcPr>
            <w:tcW w:type="dxa" w:w="68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w:t>
            </w:r>
          </w:p>
        </w:tc>
        <w:tc>
          <w:tcPr>
            <w:tcW w:type="dxa" w:w="444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Risk</w:t>
            </w:r>
          </w:p>
        </w:tc>
        <w:tc>
          <w:tcPr>
            <w:tcW w:type="dxa" w:w="102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Sev.</w:t>
            </w:r>
          </w:p>
        </w:tc>
        <w:tc>
          <w:tcPr>
            <w:tcW w:type="dxa" w:w="513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Mitigation</w:t>
            </w:r>
          </w:p>
        </w:tc>
        <w:tc>
          <w:tcPr>
            <w:tcW w:type="dxa" w:w="239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Owner</w:t>
            </w:r>
          </w:p>
        </w:tc>
      </w:tr>
      <w:tr>
        <w:tc>
          <w:tcPr>
            <w:tcW w:type="dxa" w:w="6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1</w:t>
            </w:r>
          </w:p>
        </w:tc>
        <w:tc>
          <w:tcPr>
            <w:tcW w:type="dxa" w:w="444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102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«H/M/L»</w:t>
            </w:r>
          </w:p>
        </w:tc>
        <w:tc>
          <w:tcPr>
            <w:tcW w:type="dxa" w:w="51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23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6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2</w:t>
            </w:r>
          </w:p>
        </w:tc>
        <w:tc>
          <w:tcPr>
            <w:tcW w:type="dxa" w:w="444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102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«H/M/L»</w:t>
            </w:r>
          </w:p>
        </w:tc>
        <w:tc>
          <w:tcPr>
            <w:tcW w:type="dxa" w:w="51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239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6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3</w:t>
            </w:r>
          </w:p>
        </w:tc>
        <w:tc>
          <w:tcPr>
            <w:tcW w:type="dxa" w:w="444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102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«H/M/L»</w:t>
            </w:r>
          </w:p>
        </w:tc>
        <w:tc>
          <w:tcPr>
            <w:tcW w:type="dxa" w:w="51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23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bl>
    <w:p>
      <w:pPr>
        <w:keepNext/>
        <w:spacing w:before="320" w:after="140"/>
        <w:pBdr>
          <w:bottom w:val="single" w:sz="12" w:space="2" w:color="16233D"/>
        </w:pBdr>
      </w:pPr>
      <w:r>
        <w:rPr>
          <w:rFonts w:ascii="Calibri" w:hAnsi="Calibri"/>
          <w:b/>
          <w:color w:val="C89B3C"/>
          <w:sz w:val="30"/>
        </w:rPr>
        <w:t xml:space="preserve">2    </w:t>
      </w:r>
      <w:r>
        <w:rPr>
          <w:rFonts w:ascii="Calibri" w:hAnsi="Calibri"/>
          <w:b/>
          <w:color w:val="16233D"/>
          <w:sz w:val="26"/>
        </w:rPr>
        <w:t>DATA STREAMS &amp; SOURCES</w:t>
      </w:r>
    </w:p>
    <w:p>
      <w:pPr>
        <w:spacing w:after="100" w:line="252" w:lineRule="auto"/>
      </w:pPr>
      <w:r>
        <w:rPr>
          <w:rFonts w:ascii="Calibri" w:hAnsi="Calibri"/>
          <w:i/>
          <w:color w:val="898781"/>
          <w:sz w:val="17"/>
        </w:rPr>
        <w:t>▸ Object class 1 of 10 · phases CONNECT + PREPARE. One row per data stream feeding this data space. Pull from the DC Data Streams tab plus the connector configuration; attach the raw export. Deliverable: one data-stream definition per migrated row, plus one connection definition per connector type in §2.2.</w:t>
      </w:r>
    </w:p>
    <w:p>
      <w:pPr>
        <w:keepNext/>
        <w:spacing w:before="220" w:after="80"/>
      </w:pPr>
      <w:r>
        <w:rPr>
          <w:rFonts w:ascii="Calibri" w:hAnsi="Calibri"/>
          <w:b/>
          <w:color w:val="16233D"/>
          <w:sz w:val="21"/>
        </w:rPr>
        <w:t>2.1  Stream inventory</w:t>
      </w:r>
      <w:r>
        <w:rPr>
          <w:rFonts w:ascii="Calibri" w:hAnsi="Calibri"/>
          <w:i/>
          <w:color w:val="898781"/>
          <w:sz w:val="17"/>
        </w:rPr>
        <w:t xml:space="preserve">   MANDATORY</w:t>
      </w:r>
    </w:p>
    <w:tbl>
      <w:tblPr>
        <w:tblW w:type="auto" w:w="0"/>
        <w:jc w:val="left"/>
        <w:tblLayout w:type="fixed"/>
        <w:tblLook w:firstColumn="1" w:firstRow="1" w:lastColumn="0" w:lastRow="0" w:noHBand="0" w:noVBand="1" w:val="04A0"/>
      </w:tblPr>
      <w:tblGrid>
        <w:gridCol w:w="1244"/>
        <w:gridCol w:w="1244"/>
        <w:gridCol w:w="1244"/>
        <w:gridCol w:w="1244"/>
        <w:gridCol w:w="1244"/>
        <w:gridCol w:w="1244"/>
        <w:gridCol w:w="1244"/>
        <w:gridCol w:w="1244"/>
        <w:gridCol w:w="1244"/>
        <w:gridCol w:w="1244"/>
        <w:gridCol w:w="1244"/>
      </w:tblGrid>
      <w:tr>
        <w:tc>
          <w:tcPr>
            <w:tcW w:type="dxa" w:w="157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Stream name</w:t>
            </w:r>
          </w:p>
        </w:tc>
        <w:tc>
          <w:tcPr>
            <w:tcW w:type="dxa" w:w="157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API name</w:t>
            </w:r>
          </w:p>
        </w:tc>
        <w:tc>
          <w:tcPr>
            <w:tcW w:type="dxa" w:w="131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Source system</w:t>
            </w:r>
          </w:p>
        </w:tc>
        <w:tc>
          <w:tcPr>
            <w:tcW w:type="dxa" w:w="131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Connector type</w:t>
            </w:r>
          </w:p>
        </w:tc>
        <w:tc>
          <w:tcPr>
            <w:tcW w:type="dxa" w:w="118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Refresh cadence</w:t>
            </w:r>
          </w:p>
        </w:tc>
        <w:tc>
          <w:tcPr>
            <w:tcW w:type="dxa" w:w="131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Full-refresh dur. (h)</w:t>
            </w:r>
          </w:p>
        </w:tc>
        <w:tc>
          <w:tcPr>
            <w:tcW w:type="dxa" w:w="92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Row volume</w:t>
            </w:r>
          </w:p>
        </w:tc>
        <w:tc>
          <w:tcPr>
            <w:tcW w:type="dxa" w:w="118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Incremental key</w:t>
            </w:r>
          </w:p>
        </w:tc>
        <w:tc>
          <w:tcPr>
            <w:tcW w:type="dxa" w:w="131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Last successful run</w:t>
            </w:r>
          </w:p>
        </w:tc>
        <w:tc>
          <w:tcPr>
            <w:tcW w:type="dxa" w:w="78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Migrate?</w:t>
            </w:r>
          </w:p>
        </w:tc>
        <w:tc>
          <w:tcPr>
            <w:tcW w:type="dxa" w:w="118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Rebuild path</w:t>
            </w:r>
          </w:p>
        </w:tc>
      </w:tr>
      <w:tr>
        <w:tc>
          <w:tcPr>
            <w:tcW w:type="dxa" w:w="157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57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57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57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57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57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57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57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57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57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57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57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57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57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bl>
    <w:p>
      <w:pPr>
        <w:spacing w:after="100" w:line="252" w:lineRule="auto"/>
      </w:pPr>
      <w:r>
        <w:rPr>
          <w:rFonts w:ascii="Calibri" w:hAnsi="Calibri"/>
          <w:i/>
          <w:color w:val="898781"/>
          <w:sz w:val="17"/>
        </w:rPr>
        <w:t>▸ Connector type: CRM connector · S3 · SFTP · Ingestion API · Databricks zero-copy · Snowflake · SharePoint unstructured · MC connector · MCP · web/mobile SDK · manual file upload. Flag manual uploads explicitly — they do not survive a lift-and-shift without a named owner. Rebuild path: DATAKIT / CLI JSON / MANUAL UI.</w:t>
      </w:r>
    </w:p>
    <w:p>
      <w:pPr>
        <w:spacing w:after="100" w:line="252" w:lineRule="auto"/>
      </w:pPr>
      <w:r>
        <w:rPr>
          <w:rFonts w:ascii="Calibri" w:hAnsi="Calibri"/>
          <w:i/>
          <w:color w:val="898781"/>
          <w:sz w:val="17"/>
        </w:rPr>
        <w:t>▸ Full-refresh duration is the elapsed time of a complete reload or backfill, not the incremental cadence — it is the cutover blackout window for this stream, so measure it rather than estimating. Note also that a refresh triggered at stream level behaves differently from a connection-level rerun; say which was measured. Last successful run must be taken from the stream's own refresh history, not from a platform health command — the CLI health check covers only the search-index surface and is advisory.</w:t>
      </w:r>
    </w:p>
    <w:p>
      <w:pPr>
        <w:keepNext/>
        <w:spacing w:before="220" w:after="80"/>
      </w:pPr>
      <w:r>
        <w:rPr>
          <w:rFonts w:ascii="Calibri" w:hAnsi="Calibri"/>
          <w:b/>
          <w:color w:val="16233D"/>
          <w:sz w:val="21"/>
        </w:rPr>
        <w:t>2.2  Source connections &amp; dependencies outside the four orgs</w:t>
      </w:r>
    </w:p>
    <w:p>
      <w:pPr>
        <w:spacing w:after="100" w:line="252" w:lineRule="auto"/>
      </w:pPr>
      <w:r>
        <w:rPr>
          <w:rFonts w:ascii="Calibri" w:hAnsi="Calibri"/>
          <w:i/>
          <w:color w:val="898781"/>
          <w:sz w:val="17"/>
        </w:rPr>
        <w:t>▸ Databricks/UCP, AMG, DocMS, MC, MCP and any local/market-specific source. Note the owning team and whether a new connection is needed in DC1. Connector type is mandatory on every row: connection inventories are enumerated per connector type, so a row without one cannot be looked up.</w:t>
      </w:r>
    </w:p>
    <w:tbl>
      <w:tblPr>
        <w:tblW w:type="auto" w:w="0"/>
        <w:jc w:val="left"/>
        <w:tblLayout w:type="fixed"/>
        <w:tblLook w:firstColumn="1" w:firstRow="1" w:lastColumn="0" w:lastRow="0" w:noHBand="0" w:noVBand="1" w:val="04A0"/>
      </w:tblPr>
      <w:tblGrid>
        <w:gridCol w:w="1954"/>
        <w:gridCol w:w="1954"/>
        <w:gridCol w:w="1954"/>
        <w:gridCol w:w="1954"/>
        <w:gridCol w:w="1954"/>
        <w:gridCol w:w="1954"/>
        <w:gridCol w:w="1954"/>
      </w:tblGrid>
      <w:tr>
        <w:tc>
          <w:tcPr>
            <w:tcW w:type="dxa" w:w="184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Source</w:t>
            </w:r>
          </w:p>
        </w:tc>
        <w:tc>
          <w:tcPr>
            <w:tcW w:type="dxa" w:w="210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Connection API name</w:t>
            </w:r>
          </w:p>
        </w:tc>
        <w:tc>
          <w:tcPr>
            <w:tcW w:type="dxa" w:w="171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Connector type</w:t>
            </w:r>
          </w:p>
        </w:tc>
        <w:tc>
          <w:tcPr>
            <w:tcW w:type="dxa" w:w="171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Owning team</w:t>
            </w:r>
          </w:p>
        </w:tc>
        <w:tc>
          <w:tcPr>
            <w:tcW w:type="dxa" w:w="184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Connection exists in DC1?</w:t>
            </w:r>
          </w:p>
        </w:tc>
        <w:tc>
          <w:tcPr>
            <w:tcW w:type="dxa" w:w="171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New setup required?</w:t>
            </w:r>
          </w:p>
        </w:tc>
        <w:tc>
          <w:tcPr>
            <w:tcW w:type="dxa" w:w="276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Note</w:t>
            </w:r>
          </w:p>
        </w:tc>
      </w:tr>
      <w:tr>
        <w:tc>
          <w:tcPr>
            <w:tcW w:type="dxa" w:w="184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1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4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76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84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1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84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76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84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1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4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76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84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1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84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76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84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1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4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76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84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1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84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76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bl>
    <w:p>
      <w:pPr>
        <w:keepNext/>
        <w:spacing w:before="220" w:after="80"/>
      </w:pPr>
      <w:r>
        <w:rPr>
          <w:rFonts w:ascii="Calibri" w:hAnsi="Calibri"/>
          <w:b/>
          <w:color w:val="16233D"/>
          <w:sz w:val="21"/>
        </w:rPr>
        <w:t>2.3  Historical data &amp; backfill</w:t>
      </w:r>
    </w:p>
    <w:p>
      <w:pPr>
        <w:spacing w:after="100" w:line="252" w:lineRule="auto"/>
      </w:pPr>
      <w:r>
        <w:rPr>
          <w:rFonts w:ascii="Calibri" w:hAnsi="Calibri"/>
          <w:i/>
          <w:color w:val="898781"/>
          <w:sz w:val="17"/>
        </w:rPr>
        <w:t>▸ Decision D12 governs the historical data scope for MC + MCP file uploads (due 10 Aug). Record what history exists, whether it must be preserved, whether the source can re-supply it, and how long the reload takes. The backfill duration is what determines whether history can be loaded inside the cutover window or must be loaded ahead of it.</w:t>
      </w:r>
    </w:p>
    <w:tbl>
      <w:tblPr>
        <w:tblW w:type="auto" w:w="0"/>
        <w:jc w:val="left"/>
        <w:tblLayout w:type="fixed"/>
        <w:tblLook w:firstColumn="1" w:firstRow="1" w:lastColumn="0" w:lastRow="0" w:noHBand="0" w:noVBand="1" w:val="04A0"/>
      </w:tblPr>
      <w:tblGrid>
        <w:gridCol w:w="1954"/>
        <w:gridCol w:w="1954"/>
        <w:gridCol w:w="1954"/>
        <w:gridCol w:w="1954"/>
        <w:gridCol w:w="1954"/>
        <w:gridCol w:w="1954"/>
        <w:gridCol w:w="1954"/>
      </w:tblGrid>
      <w:tr>
        <w:tc>
          <w:tcPr>
            <w:tcW w:type="dxa" w:w="189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Object</w:t>
            </w:r>
          </w:p>
        </w:tc>
        <w:tc>
          <w:tcPr>
            <w:tcW w:type="dxa" w:w="189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History depth today</w:t>
            </w:r>
          </w:p>
        </w:tc>
        <w:tc>
          <w:tcPr>
            <w:tcW w:type="dxa" w:w="145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Must preserve?</w:t>
            </w:r>
          </w:p>
        </w:tc>
        <w:tc>
          <w:tcPr>
            <w:tcW w:type="dxa" w:w="203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Re-suppliable from source?</w:t>
            </w:r>
          </w:p>
        </w:tc>
        <w:tc>
          <w:tcPr>
            <w:tcW w:type="dxa" w:w="174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Backfill duration (h)</w:t>
            </w:r>
          </w:p>
        </w:tc>
        <w:tc>
          <w:tcPr>
            <w:tcW w:type="dxa" w:w="218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Load before or during cutover?</w:t>
            </w:r>
          </w:p>
        </w:tc>
        <w:tc>
          <w:tcPr>
            <w:tcW w:type="dxa" w:w="247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Approach</w:t>
            </w:r>
          </w:p>
        </w:tc>
      </w:tr>
      <w:tr>
        <w:tc>
          <w:tcPr>
            <w:tcW w:type="dxa" w:w="18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18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45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4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18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4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8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18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45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4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18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4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8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18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45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4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18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4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8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18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45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4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18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4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bl>
    <w:p>
      <w:pPr>
        <w:keepNext/>
        <w:spacing w:before="320" w:after="140"/>
        <w:pBdr>
          <w:bottom w:val="single" w:sz="12" w:space="2" w:color="16233D"/>
        </w:pBdr>
      </w:pPr>
      <w:r>
        <w:rPr>
          <w:rFonts w:ascii="Calibri" w:hAnsi="Calibri"/>
          <w:b/>
          <w:color w:val="C89B3C"/>
          <w:sz w:val="30"/>
        </w:rPr>
        <w:t xml:space="preserve">3    </w:t>
      </w:r>
      <w:r>
        <w:rPr>
          <w:rFonts w:ascii="Calibri" w:hAnsi="Calibri"/>
          <w:b/>
          <w:color w:val="16233D"/>
          <w:sz w:val="26"/>
        </w:rPr>
        <w:t>DATA LAKE OBJECTS (DLOS)</w:t>
      </w:r>
    </w:p>
    <w:p>
      <w:pPr>
        <w:spacing w:after="100" w:line="252" w:lineRule="auto"/>
      </w:pPr>
      <w:r>
        <w:rPr>
          <w:rFonts w:ascii="Calibri" w:hAnsi="Calibri"/>
          <w:i/>
          <w:color w:val="898781"/>
          <w:sz w:val="17"/>
        </w:rPr>
        <w:t>▸ Object class 2 of 10 · phase PREPARE. Field-level detail belongs in the mapping workbook; this section captures the object-level shape and anything non-obvious.</w:t>
      </w:r>
    </w:p>
    <w:p>
      <w:pPr>
        <w:keepNext/>
        <w:spacing w:before="220" w:after="80"/>
      </w:pPr>
      <w:r>
        <w:rPr>
          <w:rFonts w:ascii="Calibri" w:hAnsi="Calibri"/>
          <w:b/>
          <w:color w:val="16233D"/>
          <w:sz w:val="21"/>
        </w:rPr>
        <w:t>3.1  DLO inventory</w:t>
      </w:r>
      <w:r>
        <w:rPr>
          <w:rFonts w:ascii="Calibri" w:hAnsi="Calibri"/>
          <w:i/>
          <w:color w:val="898781"/>
          <w:sz w:val="17"/>
        </w:rPr>
        <w:t xml:space="preserve">   MANDATORY</w:t>
      </w:r>
    </w:p>
    <w:tbl>
      <w:tblPr>
        <w:tblW w:type="auto" w:w="0"/>
        <w:jc w:val="left"/>
        <w:tblLayout w:type="fixed"/>
        <w:tblLook w:firstColumn="1" w:firstRow="1" w:lastColumn="0" w:lastRow="0" w:noHBand="0" w:noVBand="1" w:val="04A0"/>
      </w:tblPr>
      <w:tblGrid>
        <w:gridCol w:w="1368"/>
        <w:gridCol w:w="1368"/>
        <w:gridCol w:w="1368"/>
        <w:gridCol w:w="1368"/>
        <w:gridCol w:w="1368"/>
        <w:gridCol w:w="1368"/>
        <w:gridCol w:w="1368"/>
        <w:gridCol w:w="1368"/>
        <w:gridCol w:w="1368"/>
        <w:gridCol w:w="1368"/>
      </w:tblGrid>
      <w:tr>
        <w:tc>
          <w:tcPr>
            <w:tcW w:type="dxa" w:w="181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DLO name</w:t>
            </w:r>
          </w:p>
        </w:tc>
        <w:tc>
          <w:tcPr>
            <w:tcW w:type="dxa" w:w="195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API name (__dll)</w:t>
            </w:r>
          </w:p>
        </w:tc>
        <w:tc>
          <w:tcPr>
            <w:tcW w:type="dxa" w:w="125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Category</w:t>
            </w:r>
          </w:p>
        </w:tc>
        <w:tc>
          <w:tcPr>
            <w:tcW w:type="dxa" w:w="111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Field count</w:t>
            </w:r>
          </w:p>
        </w:tc>
        <w:tc>
          <w:tcPr>
            <w:tcW w:type="dxa" w:w="125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Record count</w:t>
            </w:r>
          </w:p>
        </w:tc>
        <w:tc>
          <w:tcPr>
            <w:tcW w:type="dxa" w:w="153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Primary key</w:t>
            </w:r>
          </w:p>
        </w:tc>
        <w:tc>
          <w:tcPr>
            <w:tcW w:type="dxa" w:w="125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Formula fields?</w:t>
            </w:r>
          </w:p>
        </w:tc>
        <w:tc>
          <w:tcPr>
            <w:tcW w:type="dxa" w:w="139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Partitioning</w:t>
            </w:r>
          </w:p>
        </w:tc>
        <w:tc>
          <w:tcPr>
            <w:tcW w:type="dxa" w:w="83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Migrate?</w:t>
            </w:r>
          </w:p>
        </w:tc>
        <w:tc>
          <w:tcPr>
            <w:tcW w:type="dxa" w:w="125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Rebuild path</w:t>
            </w:r>
          </w:p>
        </w:tc>
      </w:tr>
      <w:tr>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1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9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83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1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9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83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1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9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83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1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9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83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1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9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83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1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9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83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1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9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83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bl>
    <w:p>
      <w:pPr>
        <w:spacing w:after="100" w:line="252" w:lineRule="auto"/>
      </w:pPr>
      <w:r>
        <w:rPr>
          <w:rFonts w:ascii="Calibri" w:hAnsi="Calibri"/>
          <w:i/>
          <w:color w:val="898781"/>
          <w:sz w:val="17"/>
        </w:rPr>
        <w:t>▸ API name including the __dll suffix. Unstructured DLOs are a known trap: what the UI creates and what the CLI creates are not always interchangeable, so flag any unstructured DLO here and set its rebuild path to MANUAL UI unless a CLI path has been proven for it.</w:t>
      </w:r>
    </w:p>
    <w:p>
      <w:pPr>
        <w:keepNext/>
        <w:spacing w:before="220" w:after="80"/>
      </w:pPr>
      <w:r>
        <w:rPr>
          <w:rFonts w:ascii="Calibri" w:hAnsi="Calibri"/>
          <w:b/>
          <w:color w:val="16233D"/>
          <w:sz w:val="21"/>
        </w:rPr>
        <w:t>3.2  Data-quality observations</w:t>
      </w:r>
    </w:p>
    <w:p>
      <w:pPr>
        <w:spacing w:after="100" w:line="252" w:lineRule="auto"/>
      </w:pPr>
      <w:r>
        <w:rPr>
          <w:rFonts w:ascii="Calibri" w:hAnsi="Calibri"/>
          <w:i/>
          <w:color w:val="898781"/>
          <w:sz w:val="17"/>
        </w:rPr>
        <w:t>▸ From stage-2 profiling: fill rates below threshold, orphan records, duplicate keys, type inconsistencies. These become either transforms in the new stream or accepted debt — say which.</w:t>
      </w:r>
    </w:p>
    <w:tbl>
      <w:tblPr>
        <w:tblW w:type="auto" w:w="0"/>
        <w:jc w:val="left"/>
        <w:tblLayout w:type="fixed"/>
        <w:tblLook w:firstColumn="1" w:firstRow="1" w:lastColumn="0" w:lastRow="0" w:noHBand="0" w:noVBand="1" w:val="04A0"/>
      </w:tblPr>
      <w:tblGrid>
        <w:gridCol w:w="3420"/>
        <w:gridCol w:w="3420"/>
        <w:gridCol w:w="3420"/>
        <w:gridCol w:w="3420"/>
      </w:tblGrid>
      <w:tr>
        <w:tc>
          <w:tcPr>
            <w:tcW w:type="dxa" w:w="279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DLO / field</w:t>
            </w:r>
          </w:p>
        </w:tc>
        <w:tc>
          <w:tcPr>
            <w:tcW w:type="dxa" w:w="404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Observation</w:t>
            </w:r>
          </w:p>
        </w:tc>
        <w:tc>
          <w:tcPr>
            <w:tcW w:type="dxa" w:w="373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Impact on migration</w:t>
            </w:r>
          </w:p>
        </w:tc>
        <w:tc>
          <w:tcPr>
            <w:tcW w:type="dxa" w:w="310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Action</w:t>
            </w:r>
          </w:p>
        </w:tc>
      </w:tr>
      <w:tr>
        <w:tc>
          <w:tcPr>
            <w:tcW w:type="dxa" w:w="279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r>
          </w:p>
        </w:tc>
        <w:tc>
          <w:tcPr>
            <w:tcW w:type="dxa" w:w="404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373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310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r>
      <w:tr>
        <w:tc>
          <w:tcPr>
            <w:tcW w:type="dxa" w:w="279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r>
          </w:p>
        </w:tc>
        <w:tc>
          <w:tcPr>
            <w:tcW w:type="dxa" w:w="404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373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310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r>
      <w:tr>
        <w:tc>
          <w:tcPr>
            <w:tcW w:type="dxa" w:w="279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r>
          </w:p>
        </w:tc>
        <w:tc>
          <w:tcPr>
            <w:tcW w:type="dxa" w:w="404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373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310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r>
      <w:tr>
        <w:tc>
          <w:tcPr>
            <w:tcW w:type="dxa" w:w="279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r>
          </w:p>
        </w:tc>
        <w:tc>
          <w:tcPr>
            <w:tcW w:type="dxa" w:w="404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373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310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r>
      <w:tr>
        <w:tc>
          <w:tcPr>
            <w:tcW w:type="dxa" w:w="279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r>
          </w:p>
        </w:tc>
        <w:tc>
          <w:tcPr>
            <w:tcW w:type="dxa" w:w="404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373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310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r>
    </w:tbl>
    <w:p>
      <w:pPr>
        <w:keepNext/>
        <w:spacing w:before="320" w:after="140"/>
        <w:pBdr>
          <w:bottom w:val="single" w:sz="12" w:space="2" w:color="16233D"/>
        </w:pBdr>
      </w:pPr>
      <w:r>
        <w:rPr>
          <w:rFonts w:ascii="Calibri" w:hAnsi="Calibri"/>
          <w:b/>
          <w:color w:val="C89B3C"/>
          <w:sz w:val="30"/>
        </w:rPr>
        <w:t xml:space="preserve">4    </w:t>
      </w:r>
      <w:r>
        <w:rPr>
          <w:rFonts w:ascii="Calibri" w:hAnsi="Calibri"/>
          <w:b/>
          <w:color w:val="16233D"/>
          <w:sz w:val="26"/>
        </w:rPr>
        <w:t>DATA MODEL OBJECTS &amp; MAPPING</w:t>
      </w:r>
    </w:p>
    <w:p>
      <w:pPr>
        <w:spacing w:after="100" w:line="252" w:lineRule="auto"/>
      </w:pPr>
      <w:r>
        <w:rPr>
          <w:rFonts w:ascii="Calibri" w:hAnsi="Calibri"/>
          <w:i/>
          <w:color w:val="898781"/>
          <w:sz w:val="17"/>
        </w:rPr>
        <w:t>▸ Object class 3 of 10 · phase HARMONIZE. The heart of the record — this is what the build team implements and what QA tests for parity. Deliverable: one DMO definition, one mapping definition and one relationship definition per migrated object.</w:t>
      </w:r>
    </w:p>
    <w:p>
      <w:pPr>
        <w:keepNext/>
        <w:spacing w:before="220" w:after="80"/>
      </w:pPr>
      <w:r>
        <w:rPr>
          <w:rFonts w:ascii="Calibri" w:hAnsi="Calibri"/>
          <w:b/>
          <w:color w:val="16233D"/>
          <w:sz w:val="21"/>
        </w:rPr>
        <w:t>4.1  DMO inventory</w:t>
      </w:r>
      <w:r>
        <w:rPr>
          <w:rFonts w:ascii="Calibri" w:hAnsi="Calibri"/>
          <w:i/>
          <w:color w:val="898781"/>
          <w:sz w:val="17"/>
        </w:rPr>
        <w:t xml:space="preserve">   MANDATORY</w:t>
      </w:r>
    </w:p>
    <w:tbl>
      <w:tblPr>
        <w:tblW w:type="auto" w:w="0"/>
        <w:jc w:val="left"/>
        <w:tblLayout w:type="fixed"/>
        <w:tblLook w:firstColumn="1" w:firstRow="1" w:lastColumn="0" w:lastRow="0" w:noHBand="0" w:noVBand="1" w:val="04A0"/>
      </w:tblPr>
      <w:tblGrid>
        <w:gridCol w:w="1520"/>
        <w:gridCol w:w="1520"/>
        <w:gridCol w:w="1520"/>
        <w:gridCol w:w="1520"/>
        <w:gridCol w:w="1520"/>
        <w:gridCol w:w="1520"/>
        <w:gridCol w:w="1520"/>
        <w:gridCol w:w="1520"/>
        <w:gridCol w:w="1520"/>
      </w:tblGrid>
      <w:tr>
        <w:tc>
          <w:tcPr>
            <w:tcW w:type="dxa" w:w="180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DMO name</w:t>
            </w:r>
          </w:p>
        </w:tc>
        <w:tc>
          <w:tcPr>
            <w:tcW w:type="dxa" w:w="210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API name (__dlm)</w:t>
            </w:r>
          </w:p>
        </w:tc>
        <w:tc>
          <w:tcPr>
            <w:tcW w:type="dxa" w:w="150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Standard / custom</w:t>
            </w:r>
          </w:p>
        </w:tc>
        <w:tc>
          <w:tcPr>
            <w:tcW w:type="dxa" w:w="150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Subject area</w:t>
            </w:r>
          </w:p>
        </w:tc>
        <w:tc>
          <w:tcPr>
            <w:tcW w:type="dxa" w:w="195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Source DLO(s)</w:t>
            </w:r>
          </w:p>
        </w:tc>
        <w:tc>
          <w:tcPr>
            <w:tcW w:type="dxa" w:w="120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Mapped fields</w:t>
            </w:r>
          </w:p>
        </w:tc>
        <w:tc>
          <w:tcPr>
            <w:tcW w:type="dxa" w:w="135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Unmapped fields</w:t>
            </w:r>
          </w:p>
        </w:tc>
        <w:tc>
          <w:tcPr>
            <w:tcW w:type="dxa" w:w="90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Migrate?</w:t>
            </w:r>
          </w:p>
        </w:tc>
        <w:tc>
          <w:tcPr>
            <w:tcW w:type="dxa" w:w="135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Rebuild path</w:t>
            </w:r>
          </w:p>
        </w:tc>
      </w:tr>
      <w:tr>
        <w:tc>
          <w:tcPr>
            <w:tcW w:type="dxa" w:w="180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21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80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21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80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21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80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21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80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21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80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21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80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21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5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bl>
    <w:p>
      <w:pPr>
        <w:spacing w:after="100" w:line="252" w:lineRule="auto"/>
      </w:pPr>
      <w:r>
        <w:rPr>
          <w:rFonts w:ascii="Calibri" w:hAnsi="Calibri"/>
          <w:i/>
          <w:color w:val="898781"/>
          <w:sz w:val="17"/>
        </w:rPr>
        <w:t>▸ API name including the __dlm suffix, and the standard DMO name where one exists — a custom DMO in the legacy org that duplicates a standard one is an EXT-1 opportunity, not an EXT-3 cost. Where the same API name appears in more than one source org with a different shape, record the collision in §12.3 as an open question before build starts.</w:t>
      </w:r>
    </w:p>
    <w:p>
      <w:pPr>
        <w:keepNext/>
        <w:spacing w:before="220" w:after="80"/>
      </w:pPr>
      <w:r>
        <w:rPr>
          <w:rFonts w:ascii="Calibri" w:hAnsi="Calibri"/>
          <w:b/>
          <w:color w:val="16233D"/>
          <w:sz w:val="21"/>
        </w:rPr>
        <w:t>4.2  DMO relationships</w:t>
      </w:r>
      <w:r>
        <w:rPr>
          <w:rFonts w:ascii="Calibri" w:hAnsi="Calibri"/>
          <w:i/>
          <w:color w:val="898781"/>
          <w:sz w:val="17"/>
        </w:rPr>
        <w:t xml:space="preserve">   MANDATORY where the DMO participates in a graph or multi-object segment</w:t>
      </w:r>
    </w:p>
    <w:p>
      <w:pPr>
        <w:spacing w:after="100" w:line="252" w:lineRule="auto"/>
      </w:pPr>
      <w:r>
        <w:rPr>
          <w:rFonts w:ascii="Calibri" w:hAnsi="Calibri"/>
          <w:i/>
          <w:color w:val="898781"/>
          <w:sz w:val="17"/>
        </w:rPr>
        <w:t>▸ Relationships are separate deployable objects, not attributes of the DMOs they join, and they are a frequent silent omission: the DMOs migrate, the joins do not, and the first symptom is a data graph or segment that returns nothing.</w:t>
      </w:r>
    </w:p>
    <w:tbl>
      <w:tblPr>
        <w:tblW w:type="auto" w:w="0"/>
        <w:jc w:val="left"/>
        <w:tblLayout w:type="fixed"/>
        <w:tblLook w:firstColumn="1" w:firstRow="1" w:lastColumn="0" w:lastRow="0" w:noHBand="0" w:noVBand="1" w:val="04A0"/>
      </w:tblPr>
      <w:tblGrid>
        <w:gridCol w:w="2280"/>
        <w:gridCol w:w="2280"/>
        <w:gridCol w:w="2280"/>
        <w:gridCol w:w="2280"/>
        <w:gridCol w:w="2280"/>
        <w:gridCol w:w="2280"/>
      </w:tblGrid>
      <w:tr>
        <w:tc>
          <w:tcPr>
            <w:tcW w:type="dxa" w:w="297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From DMO.field</w:t>
            </w:r>
          </w:p>
        </w:tc>
        <w:tc>
          <w:tcPr>
            <w:tcW w:type="dxa" w:w="297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To DMO.field</w:t>
            </w:r>
          </w:p>
        </w:tc>
        <w:tc>
          <w:tcPr>
            <w:tcW w:type="dxa" w:w="163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Cardinality</w:t>
            </w:r>
          </w:p>
        </w:tc>
        <w:tc>
          <w:tcPr>
            <w:tcW w:type="dxa" w:w="356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Used by (graph / segment / CI)</w:t>
            </w:r>
          </w:p>
        </w:tc>
        <w:tc>
          <w:tcPr>
            <w:tcW w:type="dxa" w:w="104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Migrate?</w:t>
            </w:r>
          </w:p>
        </w:tc>
        <w:tc>
          <w:tcPr>
            <w:tcW w:type="dxa" w:w="148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Rebuild path</w:t>
            </w:r>
          </w:p>
        </w:tc>
      </w:tr>
      <w:tr>
        <w:tc>
          <w:tcPr>
            <w:tcW w:type="dxa" w:w="29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9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6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56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04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48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29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9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6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56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04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48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29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9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6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56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04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48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29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9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6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56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04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48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29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9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6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56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04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48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bl>
    <w:p>
      <w:pPr>
        <w:keepNext/>
        <w:spacing w:before="220" w:after="80"/>
      </w:pPr>
      <w:r>
        <w:rPr>
          <w:rFonts w:ascii="Calibri" w:hAnsi="Calibri"/>
          <w:b/>
          <w:color w:val="16233D"/>
          <w:sz w:val="21"/>
        </w:rPr>
        <w:t>4.3  Field-level disposition summary</w:t>
      </w:r>
      <w:r>
        <w:rPr>
          <w:rFonts w:ascii="Calibri" w:hAnsi="Calibri"/>
          <w:i/>
          <w:color w:val="898781"/>
          <w:sz w:val="17"/>
        </w:rPr>
        <w:t xml:space="preserve">   MANDATORY</w:t>
      </w:r>
    </w:p>
    <w:p>
      <w:pPr>
        <w:spacing w:after="100" w:line="252" w:lineRule="auto"/>
      </w:pPr>
      <w:r>
        <w:rPr>
          <w:rFonts w:ascii="Calibri" w:hAnsi="Calibri"/>
          <w:i/>
          <w:color w:val="898781"/>
          <w:sz w:val="17"/>
        </w:rPr>
        <w:t>▸ Counts per disposition code, taken from the mapping workbook. EXT-2 and EXT-3 counts are the effort signal for this data space — they are what converts the ±30% programme envelope into a committed number. The PII column drives what §8.1 is permitted to send and what §9.2 may not move across a border, so it is filled here once rather than re-derived per activation.</w:t>
      </w:r>
    </w:p>
    <w:tbl>
      <w:tblPr>
        <w:tblW w:type="auto" w:w="0"/>
        <w:jc w:val="left"/>
        <w:tblLayout w:type="fixed"/>
        <w:tblLook w:firstColumn="1" w:firstRow="1" w:lastColumn="0" w:lastRow="0" w:noHBand="0" w:noVBand="1" w:val="04A0"/>
      </w:tblPr>
      <w:tblGrid>
        <w:gridCol w:w="2280"/>
        <w:gridCol w:w="2280"/>
        <w:gridCol w:w="2280"/>
        <w:gridCol w:w="2280"/>
        <w:gridCol w:w="2280"/>
        <w:gridCol w:w="2280"/>
      </w:tblGrid>
      <w:tr>
        <w:tc>
          <w:tcPr>
            <w:tcW w:type="dxa" w:w="111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Code</w:t>
            </w:r>
          </w:p>
        </w:tc>
        <w:tc>
          <w:tcPr>
            <w:tcW w:type="dxa" w:w="254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Disposition</w:t>
            </w:r>
          </w:p>
        </w:tc>
        <w:tc>
          <w:tcPr>
            <w:tcW w:type="dxa" w:w="413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Meaning</w:t>
            </w:r>
          </w:p>
        </w:tc>
        <w:tc>
          <w:tcPr>
            <w:tcW w:type="dxa" w:w="95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Count</w:t>
            </w:r>
          </w:p>
        </w:tc>
        <w:tc>
          <w:tcPr>
            <w:tcW w:type="dxa" w:w="222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of which PII / special category</w:t>
            </w:r>
          </w:p>
        </w:tc>
        <w:tc>
          <w:tcPr>
            <w:tcW w:type="dxa" w:w="270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Notes / examples</w:t>
            </w:r>
          </w:p>
        </w:tc>
      </w:tr>
      <w:tr>
        <w:tc>
          <w:tcPr>
            <w:tcW w:type="dxa" w:w="111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L&amp;S-1</w:t>
            </w:r>
          </w:p>
        </w:tc>
        <w:tc>
          <w:tcPr>
            <w:tcW w:type="dxa" w:w="254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Direct carry-over</w:t>
            </w:r>
          </w:p>
        </w:tc>
        <w:tc>
          <w:tcPr>
            <w:tcW w:type="dxa" w:w="41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Legacy DC field recreated identically in DC1</w:t>
            </w:r>
          </w:p>
        </w:tc>
        <w:tc>
          <w:tcPr>
            <w:tcW w:type="dxa" w:w="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22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70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11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L&amp;S-2</w:t>
            </w:r>
          </w:p>
        </w:tc>
        <w:tc>
          <w:tcPr>
            <w:tcW w:type="dxa" w:w="254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Carry-over + retype</w:t>
            </w:r>
          </w:p>
        </w:tc>
        <w:tc>
          <w:tcPr>
            <w:tcW w:type="dxa" w:w="41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Same attribute, different type or format</w:t>
            </w:r>
          </w:p>
        </w:tc>
        <w:tc>
          <w:tcPr>
            <w:tcW w:type="dxa" w:w="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22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70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11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EXT-1</w:t>
            </w:r>
          </w:p>
        </w:tc>
        <w:tc>
          <w:tcPr>
            <w:tcW w:type="dxa" w:w="254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Maps to existing DMO field</w:t>
            </w:r>
          </w:p>
        </w:tc>
        <w:tc>
          <w:tcPr>
            <w:tcW w:type="dxa" w:w="41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CAC/MBM field maps onto an attribute the DMO already holds</w:t>
            </w:r>
          </w:p>
        </w:tc>
        <w:tc>
          <w:tcPr>
            <w:tcW w:type="dxa" w:w="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22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70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11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EXT-2</w:t>
            </w:r>
          </w:p>
        </w:tc>
        <w:tc>
          <w:tcPr>
            <w:tcW w:type="dxa" w:w="254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New field on existing DMO</w:t>
            </w:r>
          </w:p>
        </w:tc>
        <w:tc>
          <w:tcPr>
            <w:tcW w:type="dxa" w:w="41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CAC/MBM attribute not in the model; DMO extended</w:t>
            </w:r>
          </w:p>
        </w:tc>
        <w:tc>
          <w:tcPr>
            <w:tcW w:type="dxa" w:w="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22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70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11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EXT-3</w:t>
            </w:r>
          </w:p>
        </w:tc>
        <w:tc>
          <w:tcPr>
            <w:tcW w:type="dxa" w:w="254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New DMO required</w:t>
            </w:r>
          </w:p>
        </w:tc>
        <w:tc>
          <w:tcPr>
            <w:tcW w:type="dxa" w:w="41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New subject area; no existing DMO fits</w:t>
            </w:r>
          </w:p>
        </w:tc>
        <w:tc>
          <w:tcPr>
            <w:tcW w:type="dxa" w:w="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22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70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11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DROP</w:t>
            </w:r>
          </w:p>
        </w:tc>
        <w:tc>
          <w:tcPr>
            <w:tcW w:type="dxa" w:w="254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Not migrated</w:t>
            </w:r>
          </w:p>
        </w:tc>
        <w:tc>
          <w:tcPr>
            <w:tcW w:type="dxa" w:w="41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Abandoned / unused / superseded — confirmed by the data owner</w:t>
            </w:r>
          </w:p>
        </w:tc>
        <w:tc>
          <w:tcPr>
            <w:tcW w:type="dxa" w:w="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22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70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11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r>
          </w:p>
        </w:tc>
        <w:tc>
          <w:tcPr>
            <w:tcW w:type="dxa" w:w="254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UNRESOLVED</w:t>
            </w:r>
          </w:p>
        </w:tc>
        <w:tc>
          <w:tcPr>
            <w:tcW w:type="dxa" w:w="41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No disposition agreed yet — must be zero at status 50</w:t>
            </w:r>
          </w:p>
        </w:tc>
        <w:tc>
          <w:tcPr>
            <w:tcW w:type="dxa" w:w="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22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70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bl>
    <w:p>
      <w:pPr>
        <w:spacing w:after="100" w:line="252" w:lineRule="auto"/>
      </w:pPr>
      <w:r>
        <w:rPr>
          <w:rFonts w:ascii="Calibri" w:hAnsi="Calibri"/>
          <w:i/>
          <w:color w:val="898781"/>
          <w:sz w:val="17"/>
        </w:rPr>
        <w:t>▸ PII / special category: mark counts of direct identifiers, contact points, and any special-category data (health, biometric, precise location). Any special-category field appearing in an activation payload requires an explicit DPO note in §9.1.</w:t>
      </w:r>
    </w:p>
    <w:p>
      <w:pPr>
        <w:keepNext/>
        <w:spacing w:before="220" w:after="80"/>
      </w:pPr>
      <w:r>
        <w:rPr>
          <w:rFonts w:ascii="Calibri" w:hAnsi="Calibri"/>
          <w:b/>
          <w:color w:val="16233D"/>
          <w:sz w:val="21"/>
        </w:rPr>
        <w:t>4.4  Attribute precedence rules</w:t>
      </w:r>
      <w:r>
        <w:rPr>
          <w:rFonts w:ascii="Calibri" w:hAnsi="Calibri"/>
          <w:i/>
          <w:color w:val="898781"/>
          <w:sz w:val="17"/>
        </w:rPr>
        <w:t xml:space="preserve">   MANDATORY where two orgs supply the same attribute</w:t>
      </w:r>
    </w:p>
    <w:p>
      <w:pPr>
        <w:spacing w:after="100" w:line="252" w:lineRule="auto"/>
      </w:pPr>
      <w:r>
        <w:rPr>
          <w:rFonts w:ascii="Calibri" w:hAnsi="Calibri"/>
          <w:i/>
          <w:color w:val="898781"/>
          <w:sz w:val="17"/>
        </w:rPr>
        <w:t>▸ Default precedence is legacy DC value &gt; CAC &gt; MBM unless the market owner specifies otherwise. Record every exception — precedence changes the unified profile output, so an undocumented rule is an untestable one.</w:t>
      </w:r>
    </w:p>
    <w:p>
      <w:pPr>
        <w:spacing w:after="100" w:line="252" w:lineRule="auto"/>
      </w:pPr>
      <w:r>
        <w:rPr>
          <w:rFonts w:ascii="Calibri" w:hAnsi="Calibri"/>
          <w:i/>
          <w:color w:val="898781"/>
          <w:sz w:val="17"/>
        </w:rPr>
        <w:t>▸ CROSS-REFERENCE: where the winning source is decided during identity resolution rather than during mapping, the rule belongs in §5.1b (reconciliation source priority) and this table should point to it. The two must not state different answers for the same attribute — §5.1b is what the platform actually executes.</w:t>
      </w:r>
    </w:p>
    <w:tbl>
      <w:tblPr>
        <w:tblW w:type="auto" w:w="0"/>
        <w:jc w:val="left"/>
        <w:tblLayout w:type="fixed"/>
        <w:tblLook w:firstColumn="1" w:firstRow="1" w:lastColumn="0" w:lastRow="0" w:noHBand="0" w:noVBand="1" w:val="04A0"/>
      </w:tblPr>
      <w:tblGrid>
        <w:gridCol w:w="2280"/>
        <w:gridCol w:w="2280"/>
        <w:gridCol w:w="2280"/>
        <w:gridCol w:w="2280"/>
        <w:gridCol w:w="2280"/>
        <w:gridCol w:w="2280"/>
      </w:tblGrid>
      <w:tr>
        <w:tc>
          <w:tcPr>
            <w:tcW w:type="dxa" w:w="230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DMO.field</w:t>
            </w:r>
          </w:p>
        </w:tc>
        <w:tc>
          <w:tcPr>
            <w:tcW w:type="dxa" w:w="187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Supplied by</w:t>
            </w:r>
          </w:p>
        </w:tc>
        <w:tc>
          <w:tcPr>
            <w:tcW w:type="dxa" w:w="172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Winning source</w:t>
            </w:r>
          </w:p>
        </w:tc>
        <w:tc>
          <w:tcPr>
            <w:tcW w:type="dxa" w:w="345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Rule / condition</w:t>
            </w:r>
          </w:p>
        </w:tc>
        <w:tc>
          <w:tcPr>
            <w:tcW w:type="dxa" w:w="259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Enforced in (mapping / IR §5.1b)</w:t>
            </w:r>
          </w:p>
        </w:tc>
        <w:tc>
          <w:tcPr>
            <w:tcW w:type="dxa" w:w="172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Approved by</w:t>
            </w:r>
          </w:p>
        </w:tc>
      </w:tr>
      <w:tr>
        <w:tc>
          <w:tcPr>
            <w:tcW w:type="dxa" w:w="230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187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4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5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230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187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4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5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230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187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4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5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230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187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4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5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230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187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4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5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bl>
    <w:p>
      <w:pPr>
        <w:keepNext/>
        <w:spacing w:before="220" w:after="80"/>
      </w:pPr>
      <w:r>
        <w:rPr>
          <w:rFonts w:ascii="Calibri" w:hAnsi="Calibri"/>
          <w:b/>
          <w:color w:val="16233D"/>
          <w:sz w:val="21"/>
        </w:rPr>
        <w:t>4.5  Transformations required</w:t>
      </w:r>
    </w:p>
    <w:p>
      <w:pPr>
        <w:spacing w:after="100" w:line="252" w:lineRule="auto"/>
      </w:pPr>
      <w:r>
        <w:rPr>
          <w:rFonts w:ascii="Calibri" w:hAnsi="Calibri"/>
          <w:i/>
          <w:color w:val="898781"/>
          <w:sz w:val="17"/>
        </w:rPr>
        <w:t>▸ Transforms are deployable objects in their own right. Note whether the transform is batch or streaming, since that constrains where it can be applied.</w:t>
      </w:r>
    </w:p>
    <w:tbl>
      <w:tblPr>
        <w:tblW w:type="auto" w:w="0"/>
        <w:jc w:val="left"/>
        <w:tblLayout w:type="fixed"/>
        <w:tblLook w:firstColumn="1" w:firstRow="1" w:lastColumn="0" w:lastRow="0" w:noHBand="0" w:noVBand="1" w:val="04A0"/>
      </w:tblPr>
      <w:tblGrid>
        <w:gridCol w:w="2280"/>
        <w:gridCol w:w="2280"/>
        <w:gridCol w:w="2280"/>
        <w:gridCol w:w="2280"/>
        <w:gridCol w:w="2280"/>
        <w:gridCol w:w="2280"/>
      </w:tblGrid>
      <w:tr>
        <w:tc>
          <w:tcPr>
            <w:tcW w:type="dxa" w:w="212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Target field</w:t>
            </w:r>
          </w:p>
        </w:tc>
        <w:tc>
          <w:tcPr>
            <w:tcW w:type="dxa" w:w="395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Transformation logic</w:t>
            </w:r>
          </w:p>
        </w:tc>
        <w:tc>
          <w:tcPr>
            <w:tcW w:type="dxa" w:w="273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Where applied (stream / DLO / DMO)</w:t>
            </w:r>
          </w:p>
        </w:tc>
        <w:tc>
          <w:tcPr>
            <w:tcW w:type="dxa" w:w="167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Batch or streaming</w:t>
            </w:r>
          </w:p>
        </w:tc>
        <w:tc>
          <w:tcPr>
            <w:tcW w:type="dxa" w:w="136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Rebuild path</w:t>
            </w:r>
          </w:p>
        </w:tc>
        <w:tc>
          <w:tcPr>
            <w:tcW w:type="dxa" w:w="182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Tested by</w:t>
            </w:r>
          </w:p>
        </w:tc>
      </w:tr>
      <w:tr>
        <w:tc>
          <w:tcPr>
            <w:tcW w:type="dxa" w:w="21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39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7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67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3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2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21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39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7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67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36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82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21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39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7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67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3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2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21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39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7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67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36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82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21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39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7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67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3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2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bl>
    <w:p>
      <w:pPr>
        <w:keepNext/>
        <w:spacing w:before="320" w:after="140"/>
        <w:pBdr>
          <w:bottom w:val="single" w:sz="12" w:space="2" w:color="16233D"/>
        </w:pBdr>
      </w:pPr>
      <w:r>
        <w:rPr>
          <w:rFonts w:ascii="Calibri" w:hAnsi="Calibri"/>
          <w:b/>
          <w:color w:val="C89B3C"/>
          <w:sz w:val="30"/>
        </w:rPr>
        <w:t xml:space="preserve">5    </w:t>
      </w:r>
      <w:r>
        <w:rPr>
          <w:rFonts w:ascii="Calibri" w:hAnsi="Calibri"/>
          <w:b/>
          <w:color w:val="16233D"/>
          <w:sz w:val="26"/>
        </w:rPr>
        <w:t>IDENTITY RESOLUTION &amp; UNIFIED PROFILE</w:t>
      </w:r>
    </w:p>
    <w:p>
      <w:pPr>
        <w:spacing w:after="100" w:line="252" w:lineRule="auto"/>
      </w:pPr>
      <w:r>
        <w:rPr>
          <w:rFonts w:ascii="Calibri" w:hAnsi="Calibri"/>
          <w:i/>
          <w:color w:val="898781"/>
          <w:sz w:val="17"/>
        </w:rPr>
        <w:t>▸ Object class 4 of 10 · phase HARMONIZE. Record the ruleset as-is FIRST (the lift-and-shift baseline), then the re-cut needed once CAC/MBM identifiers are added. Match rates must be measured, not assumed. Deliverable: one identity-resolution definition per ruleset, reconstructable from §5.1a + §5.1b without opening the source org.</w:t>
      </w:r>
    </w:p>
    <w:p>
      <w:pPr>
        <w:keepNext/>
        <w:spacing w:before="220" w:after="80"/>
      </w:pPr>
      <w:r>
        <w:rPr>
          <w:rFonts w:ascii="Calibri" w:hAnsi="Calibri"/>
          <w:b/>
          <w:color w:val="16233D"/>
          <w:sz w:val="21"/>
        </w:rPr>
        <w:t>5.1  Ruleset as-is (baseline)</w:t>
      </w:r>
      <w:r>
        <w:rPr>
          <w:rFonts w:ascii="Calibri" w:hAnsi="Calibri"/>
          <w:i/>
          <w:color w:val="898781"/>
          <w:sz w:val="17"/>
        </w:rPr>
        <w:t xml:space="preserve">   MANDATORY for lift-and-shift data spaces</w:t>
      </w:r>
    </w:p>
    <w:p>
      <w:pPr>
        <w:spacing w:after="100" w:line="252" w:lineRule="auto"/>
      </w:pPr>
      <w:r>
        <w:rPr>
          <w:rFonts w:ascii="Calibri" w:hAnsi="Calibri"/>
          <w:i/>
          <w:color w:val="898781"/>
          <w:sz w:val="17"/>
        </w:rPr>
        <w:t>▸ A ruleset cannot be rebuilt from a prose summary. §5.1a is one row per match rule in execution order; §5.1b is the reconciliation policy. Both are required — a ruleset with match rules but no recorded reconciliation will produce different attribute values on the unified profile even when the match rate is identical.</w:t>
      </w:r>
    </w:p>
    <w:p>
      <w:pPr>
        <w:spacing w:after="60" w:before="0" w:line="259" w:lineRule="auto"/>
      </w:pPr>
      <w:r>
        <w:rPr>
          <w:rFonts w:ascii="Calibri" w:hAnsi="Calibri"/>
          <w:b/>
          <w:i w:val="0"/>
          <w:color w:val="16233D"/>
          <w:sz w:val="18"/>
        </w:rPr>
        <w:t>5.1a  Ruleset header &amp; match rules</w:t>
      </w:r>
    </w:p>
    <w:tbl>
      <w:tblPr>
        <w:tblW w:type="auto" w:w="0"/>
        <w:jc w:val="left"/>
        <w:tblLayout w:type="fixed"/>
        <w:tblLook w:firstColumn="1" w:firstRow="1" w:lastColumn="0" w:lastRow="0" w:noHBand="0" w:noVBand="1" w:val="04A0"/>
      </w:tblPr>
      <w:tblGrid>
        <w:gridCol w:w="6840"/>
        <w:gridCol w:w="6840"/>
      </w:tblGrid>
      <w:tr>
        <w:tc>
          <w:tcPr>
            <w:tcW w:type="dxa" w:w="427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Attribute</w:t>
            </w:r>
          </w:p>
        </w:tc>
        <w:tc>
          <w:tcPr>
            <w:tcW w:type="dxa" w:w="940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Value</w:t>
            </w:r>
          </w:p>
        </w:tc>
      </w:tr>
      <w:tr>
        <w:tc>
          <w:tcPr>
            <w:tcW w:type="dxa" w:w="427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Ruleset name / API name</w:t>
            </w:r>
          </w:p>
        </w:tc>
        <w:tc>
          <w:tcPr>
            <w:tcW w:type="dxa" w:w="94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427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Applies to DMO</w:t>
            </w:r>
          </w:p>
        </w:tc>
        <w:tc>
          <w:tcPr>
            <w:tcW w:type="dxa" w:w="94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«e.g. Individual__dlm»</w:t>
            </w:r>
          </w:p>
        </w:tc>
      </w:tr>
      <w:tr>
        <w:tc>
          <w:tcPr>
            <w:tcW w:type="dxa" w:w="427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Individuals in</w:t>
            </w:r>
          </w:p>
        </w:tc>
        <w:tc>
          <w:tcPr>
            <w:tcW w:type="dxa" w:w="94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427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Unified profiles out</w:t>
            </w:r>
          </w:p>
        </w:tc>
        <w:tc>
          <w:tcPr>
            <w:tcW w:type="dxa" w:w="94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427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Match rate (measured)</w:t>
            </w:r>
          </w:p>
        </w:tc>
        <w:tc>
          <w:tcPr>
            <w:tcW w:type="dxa" w:w="94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 — state the date measured»</w:t>
            </w:r>
          </w:p>
        </w:tc>
      </w:tr>
      <w:tr>
        <w:tc>
          <w:tcPr>
            <w:tcW w:type="dxa" w:w="427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Last successful IR run</w:t>
            </w:r>
          </w:p>
        </w:tc>
        <w:tc>
          <w:tcPr>
            <w:tcW w:type="dxa" w:w="94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«dd Mon yy — from IR run history»</w:t>
            </w:r>
          </w:p>
        </w:tc>
      </w:tr>
      <w:tr>
        <w:tc>
          <w:tcPr>
            <w:tcW w:type="dxa" w:w="427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IR run duration</w:t>
            </w:r>
          </w:p>
        </w:tc>
        <w:tc>
          <w:tcPr>
            <w:tcW w:type="dxa" w:w="94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«h — the re-run window at cutover»</w:t>
            </w:r>
          </w:p>
        </w:tc>
      </w:tr>
    </w:tbl>
    <w:p>
      <w:pPr>
        <w:spacing w:after="60"/>
      </w:pPr>
    </w:p>
    <w:tbl>
      <w:tblPr>
        <w:tblW w:type="auto" w:w="0"/>
        <w:jc w:val="left"/>
        <w:tblLayout w:type="fixed"/>
        <w:tblLook w:firstColumn="1" w:firstRow="1" w:lastColumn="0" w:lastRow="0" w:noHBand="0" w:noVBand="1" w:val="04A0"/>
      </w:tblPr>
      <w:tblGrid>
        <w:gridCol w:w="1954"/>
        <w:gridCol w:w="1954"/>
        <w:gridCol w:w="1954"/>
        <w:gridCol w:w="1954"/>
        <w:gridCol w:w="1954"/>
        <w:gridCol w:w="1954"/>
        <w:gridCol w:w="1954"/>
      </w:tblGrid>
      <w:tr>
        <w:tc>
          <w:tcPr>
            <w:tcW w:type="dxa" w:w="89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Order</w:t>
            </w:r>
          </w:p>
        </w:tc>
        <w:tc>
          <w:tcPr>
            <w:tcW w:type="dxa" w:w="223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Match rule name</w:t>
            </w:r>
          </w:p>
        </w:tc>
        <w:tc>
          <w:tcPr>
            <w:tcW w:type="dxa" w:w="193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Match method</w:t>
            </w:r>
          </w:p>
        </w:tc>
        <w:tc>
          <w:tcPr>
            <w:tcW w:type="dxa" w:w="297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Fields matched (DMO.field)</w:t>
            </w:r>
          </w:p>
        </w:tc>
        <w:tc>
          <w:tcPr>
            <w:tcW w:type="dxa" w:w="282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Normalisation / fuzzy setting</w:t>
            </w:r>
          </w:p>
        </w:tc>
        <w:tc>
          <w:tcPr>
            <w:tcW w:type="dxa" w:w="148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Boolean logic</w:t>
            </w:r>
          </w:p>
        </w:tc>
        <w:tc>
          <w:tcPr>
            <w:tcW w:type="dxa" w:w="133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Migrate as-is?</w:t>
            </w:r>
          </w:p>
        </w:tc>
      </w:tr>
      <w:tr>
        <w:tc>
          <w:tcPr>
            <w:tcW w:type="dxa" w:w="8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1</w:t>
            </w:r>
          </w:p>
        </w:tc>
        <w:tc>
          <w:tcPr>
            <w:tcW w:type="dxa" w:w="22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93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«exact / fuzzy / normalised»</w:t>
            </w:r>
          </w:p>
        </w:tc>
        <w:tc>
          <w:tcPr>
            <w:tcW w:type="dxa" w:w="29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82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48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«AND / OR»</w:t>
            </w:r>
          </w:p>
        </w:tc>
        <w:tc>
          <w:tcPr>
            <w:tcW w:type="dxa" w:w="133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«Y/N»</w:t>
            </w:r>
          </w:p>
        </w:tc>
      </w:tr>
      <w:tr>
        <w:tc>
          <w:tcPr>
            <w:tcW w:type="dxa" w:w="8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2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93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9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82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48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33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8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2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93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9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82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48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33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8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2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93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9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82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48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33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8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2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93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9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82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48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33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bl>
    <w:p>
      <w:pPr>
        <w:spacing w:after="100" w:line="252" w:lineRule="auto"/>
      </w:pPr>
      <w:r>
        <w:rPr>
          <w:rFonts w:ascii="Calibri" w:hAnsi="Calibri"/>
          <w:i/>
          <w:color w:val="898781"/>
          <w:sz w:val="17"/>
        </w:rPr>
        <w:t>▸ Match method: exact · exact-normalised · fuzzy (state the sensitivity) · custom. For fuzzy rules, the sensitivity setting is part of the definition — omitting it changes the match population. Order matters: rules execute in sequence and an earlier match prevents a later one.</w:t>
      </w:r>
    </w:p>
    <w:p>
      <w:pPr>
        <w:spacing w:after="60" w:before="0" w:line="259" w:lineRule="auto"/>
      </w:pPr>
      <w:r>
        <w:rPr>
          <w:rFonts w:ascii="Calibri" w:hAnsi="Calibri"/>
          <w:b/>
          <w:i w:val="0"/>
          <w:color w:val="16233D"/>
          <w:sz w:val="18"/>
        </w:rPr>
        <w:t>5.1b  Reconciliation rules</w:t>
      </w:r>
    </w:p>
    <w:p>
      <w:pPr>
        <w:spacing w:after="100" w:line="252" w:lineRule="auto"/>
      </w:pPr>
      <w:r>
        <w:rPr>
          <w:rFonts w:ascii="Calibri" w:hAnsi="Calibri"/>
          <w:i/>
          <w:color w:val="898781"/>
          <w:sz w:val="17"/>
        </w:rPr>
        <w:t>▸ Reconciliation decides which value wins on the unified profile when sources disagree. This is the platform-executed twin of §4.4 — where the two overlap, this table is the truth. Record the source priority order explicitly, including the tie-break.</w:t>
      </w:r>
    </w:p>
    <w:tbl>
      <w:tblPr>
        <w:tblW w:type="auto" w:w="0"/>
        <w:jc w:val="left"/>
        <w:tblLayout w:type="fixed"/>
        <w:tblLook w:firstColumn="1" w:firstRow="1" w:lastColumn="0" w:lastRow="0" w:noHBand="0" w:noVBand="1" w:val="04A0"/>
      </w:tblPr>
      <w:tblGrid>
        <w:gridCol w:w="2736"/>
        <w:gridCol w:w="2736"/>
        <w:gridCol w:w="2736"/>
        <w:gridCol w:w="2736"/>
        <w:gridCol w:w="2736"/>
      </w:tblGrid>
      <w:tr>
        <w:tc>
          <w:tcPr>
            <w:tcW w:type="dxa" w:w="285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Attribute / attribute group</w:t>
            </w:r>
          </w:p>
        </w:tc>
        <w:tc>
          <w:tcPr>
            <w:tcW w:type="dxa" w:w="313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Reconciliation method</w:t>
            </w:r>
          </w:p>
        </w:tc>
        <w:tc>
          <w:tcPr>
            <w:tcW w:type="dxa" w:w="370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Source priority order (1 → n)</w:t>
            </w:r>
          </w:p>
        </w:tc>
        <w:tc>
          <w:tcPr>
            <w:tcW w:type="dxa" w:w="199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Tie-break</w:t>
            </w:r>
          </w:p>
        </w:tc>
        <w:tc>
          <w:tcPr>
            <w:tcW w:type="dxa" w:w="199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Same as §4.4?</w:t>
            </w:r>
          </w:p>
        </w:tc>
      </w:tr>
      <w:tr>
        <w:tc>
          <w:tcPr>
            <w:tcW w:type="dxa" w:w="285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313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«most recent / source priority / most frequent»</w:t>
            </w:r>
          </w:p>
        </w:tc>
        <w:tc>
          <w:tcPr>
            <w:tcW w:type="dxa" w:w="37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9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9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«Y/N — if N, explain»</w:t>
            </w:r>
          </w:p>
        </w:tc>
      </w:tr>
      <w:tr>
        <w:tc>
          <w:tcPr>
            <w:tcW w:type="dxa" w:w="285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313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7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9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9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285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313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7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9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9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285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313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7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9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9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285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313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7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9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9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bl>
    <w:p>
      <w:pPr>
        <w:keepNext/>
        <w:spacing w:before="220" w:after="80"/>
      </w:pPr>
      <w:r>
        <w:rPr>
          <w:rFonts w:ascii="Calibri" w:hAnsi="Calibri"/>
          <w:b/>
          <w:color w:val="16233D"/>
          <w:sz w:val="21"/>
        </w:rPr>
        <w:t>5.2  Ruleset target (after CAC / MBM extension)</w:t>
      </w:r>
    </w:p>
    <w:p>
      <w:pPr>
        <w:spacing w:after="100" w:line="252" w:lineRule="auto"/>
      </w:pPr>
      <w:r>
        <w:rPr>
          <w:rFonts w:ascii="Calibri" w:hAnsi="Calibri"/>
          <w:i/>
          <w:color w:val="898781"/>
          <w:sz w:val="17"/>
        </w:rPr>
        <w:t>▸ Which new identifiers are added, how the match rules change, and the expected effect on match rate. If the expected effect is ‘none’, say why — adding identifiers rarely leaves matching unchanged.</w:t>
      </w:r>
    </w:p>
    <w:tbl>
      <w:tblPr>
        <w:tblW w:type="auto" w:w="0"/>
        <w:jc w:val="left"/>
        <w:tblLayout w:type="fixed"/>
        <w:tblLook w:firstColumn="1" w:firstRow="1" w:lastColumn="0" w:lastRow="0" w:noHBand="0" w:noVBand="1" w:val="04A0"/>
      </w:tblPr>
      <w:tblGrid>
        <w:gridCol w:w="2736"/>
        <w:gridCol w:w="2736"/>
        <w:gridCol w:w="2736"/>
        <w:gridCol w:w="2736"/>
        <w:gridCol w:w="2736"/>
      </w:tblGrid>
      <w:tr>
        <w:tc>
          <w:tcPr>
            <w:tcW w:type="dxa" w:w="243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Change</w:t>
            </w:r>
          </w:p>
        </w:tc>
        <w:tc>
          <w:tcPr>
            <w:tcW w:type="dxa" w:w="273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New identifier(s)</w:t>
            </w:r>
          </w:p>
        </w:tc>
        <w:tc>
          <w:tcPr>
            <w:tcW w:type="dxa" w:w="395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Rule change</w:t>
            </w:r>
          </w:p>
        </w:tc>
        <w:tc>
          <w:tcPr>
            <w:tcW w:type="dxa" w:w="288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Expected match-rate effect</w:t>
            </w:r>
          </w:p>
        </w:tc>
        <w:tc>
          <w:tcPr>
            <w:tcW w:type="dxa" w:w="167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Re-measured?</w:t>
            </w:r>
          </w:p>
        </w:tc>
      </w:tr>
      <w:tr>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w:t>
            </w:r>
          </w:p>
        </w:tc>
        <w:tc>
          <w:tcPr>
            <w:tcW w:type="dxa" w:w="27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39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288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167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24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w:t>
            </w:r>
          </w:p>
        </w:tc>
        <w:tc>
          <w:tcPr>
            <w:tcW w:type="dxa" w:w="27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39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288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167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w:t>
            </w:r>
          </w:p>
        </w:tc>
        <w:tc>
          <w:tcPr>
            <w:tcW w:type="dxa" w:w="27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39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288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167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24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w:t>
            </w:r>
          </w:p>
        </w:tc>
        <w:tc>
          <w:tcPr>
            <w:tcW w:type="dxa" w:w="27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39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288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167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bl>
    <w:p>
      <w:pPr>
        <w:keepNext/>
        <w:spacing w:before="220" w:after="80"/>
      </w:pPr>
      <w:r>
        <w:rPr>
          <w:rFonts w:ascii="Calibri" w:hAnsi="Calibri"/>
          <w:b/>
          <w:color w:val="16233D"/>
          <w:sz w:val="21"/>
        </w:rPr>
        <w:t>5.3  Template vs country variant</w:t>
      </w:r>
      <w:r>
        <w:rPr>
          <w:rFonts w:ascii="Calibri" w:hAnsi="Calibri"/>
          <w:i/>
          <w:color w:val="898781"/>
          <w:sz w:val="17"/>
        </w:rPr>
        <w:t xml:space="preserve">   MANDATORY</w:t>
      </w:r>
    </w:p>
    <w:tbl>
      <w:tblPr>
        <w:tblW w:type="auto" w:w="0"/>
        <w:jc w:val="left"/>
        <w:tblLayout w:type="fixed"/>
        <w:tblLook w:firstColumn="1" w:firstRow="1" w:lastColumn="0" w:lastRow="0" w:noHBand="0" w:noVBand="1" w:val="04A0"/>
      </w:tblPr>
      <w:tblGrid>
        <w:gridCol w:w="6840"/>
        <w:gridCol w:w="6840"/>
      </w:tblGrid>
      <w:tr>
        <w:tc>
          <w:tcPr>
            <w:tcW w:type="dxa" w:w="484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Question</w:t>
            </w:r>
          </w:p>
        </w:tc>
        <w:tc>
          <w:tcPr>
            <w:tcW w:type="dxa" w:w="883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Answer</w:t>
            </w:r>
          </w:p>
        </w:tc>
      </w:tr>
      <w:tr>
        <w:tc>
          <w:tcPr>
            <w:tcW w:type="dxa" w:w="484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Does this data space use the template ruleset unchanged?</w:t>
            </w:r>
          </w:p>
        </w:tc>
        <w:tc>
          <w:tcPr>
            <w:tcW w:type="dxa" w:w="883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«Yes / No»</w:t>
            </w:r>
          </w:p>
        </w:tc>
      </w:tr>
      <w:tr>
        <w:tc>
          <w:tcPr>
            <w:tcW w:type="dxa" w:w="484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If no, what diverges and why?</w:t>
            </w:r>
          </w:p>
        </w:tc>
        <w:tc>
          <w:tcPr>
            <w:tcW w:type="dxa" w:w="883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484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Does the divergence require DPO review?</w:t>
            </w:r>
          </w:p>
        </w:tc>
        <w:tc>
          <w:tcPr>
            <w:tcW w:type="dxa" w:w="883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«Yes / No — DPO sign-off on cross-market unified profile &amp; IR is due 26 Oct 26»</w:t>
            </w:r>
          </w:p>
        </w:tc>
      </w:tr>
      <w:tr>
        <w:tc>
          <w:tcPr>
            <w:tcW w:type="dxa" w:w="484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Householding / BYO match rules in use?</w:t>
            </w:r>
          </w:p>
        </w:tc>
        <w:tc>
          <w:tcPr>
            <w:tcW w:type="dxa" w:w="883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bl>
    <w:p>
      <w:pPr>
        <w:keepNext/>
        <w:spacing w:before="320" w:after="140"/>
        <w:pBdr>
          <w:bottom w:val="single" w:sz="12" w:space="2" w:color="16233D"/>
        </w:pBdr>
      </w:pPr>
      <w:r>
        <w:rPr>
          <w:rFonts w:ascii="Calibri" w:hAnsi="Calibri"/>
          <w:b/>
          <w:color w:val="C89B3C"/>
          <w:sz w:val="30"/>
        </w:rPr>
        <w:t xml:space="preserve">6    </w:t>
      </w:r>
      <w:r>
        <w:rPr>
          <w:rFonts w:ascii="Calibri" w:hAnsi="Calibri"/>
          <w:b/>
          <w:color w:val="16233D"/>
          <w:sz w:val="26"/>
        </w:rPr>
        <w:t>CALCULATED INSIGHTS &amp; DATA GRAPHS</w:t>
      </w:r>
    </w:p>
    <w:p>
      <w:pPr>
        <w:spacing w:after="100" w:line="252" w:lineRule="auto"/>
      </w:pPr>
      <w:r>
        <w:rPr>
          <w:rFonts w:ascii="Calibri" w:hAnsi="Calibri"/>
          <w:i/>
          <w:color w:val="898781"/>
          <w:sz w:val="17"/>
        </w:rPr>
        <w:t>▸ Object class 5 of 10 · phases HARMONIZE + SEGMENT. CIs and data graphs are frequently the hidden dependency behind a segment — capture the dependency direction, not just the object. Deliverable: one calculated-insight and one data-graph definition per migrated object.</w:t>
      </w:r>
    </w:p>
    <w:p>
      <w:pPr>
        <w:keepNext/>
        <w:spacing w:before="220" w:after="80"/>
      </w:pPr>
      <w:r>
        <w:rPr>
          <w:rFonts w:ascii="Calibri" w:hAnsi="Calibri"/>
          <w:b/>
          <w:color w:val="16233D"/>
          <w:sz w:val="21"/>
        </w:rPr>
        <w:t>6.1  Calculated insights</w:t>
      </w:r>
    </w:p>
    <w:tbl>
      <w:tblPr>
        <w:tblW w:type="auto" w:w="0"/>
        <w:jc w:val="left"/>
        <w:tblLayout w:type="fixed"/>
        <w:tblLook w:firstColumn="1" w:firstRow="1" w:lastColumn="0" w:lastRow="0" w:noHBand="0" w:noVBand="1" w:val="04A0"/>
      </w:tblPr>
      <w:tblGrid>
        <w:gridCol w:w="1368"/>
        <w:gridCol w:w="1368"/>
        <w:gridCol w:w="1368"/>
        <w:gridCol w:w="1368"/>
        <w:gridCol w:w="1368"/>
        <w:gridCol w:w="1368"/>
        <w:gridCol w:w="1368"/>
        <w:gridCol w:w="1368"/>
        <w:gridCol w:w="1368"/>
        <w:gridCol w:w="1368"/>
      </w:tblGrid>
      <w:tr>
        <w:tc>
          <w:tcPr>
            <w:tcW w:type="dxa" w:w="142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CI name</w:t>
            </w:r>
          </w:p>
        </w:tc>
        <w:tc>
          <w:tcPr>
            <w:tcW w:type="dxa" w:w="154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API name</w:t>
            </w:r>
          </w:p>
        </w:tc>
        <w:tc>
          <w:tcPr>
            <w:tcW w:type="dxa" w:w="193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Purpose</w:t>
            </w:r>
          </w:p>
        </w:tc>
        <w:tc>
          <w:tcPr>
            <w:tcW w:type="dxa" w:w="142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Source DMO(s)</w:t>
            </w:r>
          </w:p>
        </w:tc>
        <w:tc>
          <w:tcPr>
            <w:tcW w:type="dxa" w:w="129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Refresh schedule</w:t>
            </w:r>
          </w:p>
        </w:tc>
        <w:tc>
          <w:tcPr>
            <w:tcW w:type="dxa" w:w="116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Run duration (h)</w:t>
            </w:r>
          </w:p>
        </w:tc>
        <w:tc>
          <w:tcPr>
            <w:tcW w:type="dxa" w:w="193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Dependent segments (§7.1)</w:t>
            </w:r>
          </w:p>
        </w:tc>
        <w:tc>
          <w:tcPr>
            <w:tcW w:type="dxa" w:w="103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Complexity</w:t>
            </w:r>
          </w:p>
        </w:tc>
        <w:tc>
          <w:tcPr>
            <w:tcW w:type="dxa" w:w="77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Migrate?</w:t>
            </w:r>
          </w:p>
        </w:tc>
        <w:tc>
          <w:tcPr>
            <w:tcW w:type="dxa" w:w="116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Rebuild path</w:t>
            </w:r>
          </w:p>
        </w:tc>
      </w:tr>
      <w:tr>
        <w:tc>
          <w:tcPr>
            <w:tcW w:type="dxa" w:w="1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54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9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9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6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9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6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54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9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9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6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9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7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6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54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9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9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6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9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6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54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9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9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6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9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7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6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54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9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9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6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9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6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54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9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9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6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9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7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6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bl>
    <w:p>
      <w:pPr>
        <w:spacing w:after="100" w:line="252" w:lineRule="auto"/>
      </w:pPr>
      <w:r>
        <w:rPr>
          <w:rFonts w:ascii="Calibri" w:hAnsi="Calibri"/>
          <w:i/>
          <w:color w:val="898781"/>
          <w:sz w:val="17"/>
        </w:rPr>
        <w:t>▸ The CI expression itself belongs in the definition artefact, not this table — but the artefact must exist for every migrated row, because a CI cannot be reconstructed from its purpose. Dependent segments must match the depends-on column in §7.1 in both directions; a one-sided link is how a dropped CI silently breaks a migrated segment.</w:t>
      </w:r>
    </w:p>
    <w:p>
      <w:pPr>
        <w:keepNext/>
        <w:spacing w:before="220" w:after="80"/>
      </w:pPr>
      <w:r>
        <w:rPr>
          <w:rFonts w:ascii="Calibri" w:hAnsi="Calibri"/>
          <w:b/>
          <w:color w:val="16233D"/>
          <w:sz w:val="21"/>
        </w:rPr>
        <w:t>6.2  Data graphs</w:t>
      </w:r>
    </w:p>
    <w:p>
      <w:pPr>
        <w:spacing w:after="100" w:line="252" w:lineRule="auto"/>
      </w:pPr>
      <w:r>
        <w:rPr>
          <w:rFonts w:ascii="Calibri" w:hAnsi="Calibri"/>
          <w:i/>
          <w:color w:val="898781"/>
          <w:sz w:val="17"/>
        </w:rPr>
        <w:t>▸ Note whether any graph includes zero-copy DMOs — those require full refreshes (whole-dataset reprocessing) plus IR re-execution, with credit multipliers and freshness lag. This is a cost item, not just a config item.</w:t>
      </w:r>
    </w:p>
    <w:tbl>
      <w:tblPr>
        <w:tblW w:type="auto" w:w="0"/>
        <w:jc w:val="left"/>
        <w:tblLayout w:type="fixed"/>
        <w:tblLook w:firstColumn="1" w:firstRow="1" w:lastColumn="0" w:lastRow="0" w:noHBand="0" w:noVBand="1" w:val="04A0"/>
      </w:tblPr>
      <w:tblGrid>
        <w:gridCol w:w="1520"/>
        <w:gridCol w:w="1520"/>
        <w:gridCol w:w="1520"/>
        <w:gridCol w:w="1520"/>
        <w:gridCol w:w="1520"/>
        <w:gridCol w:w="1520"/>
        <w:gridCol w:w="1520"/>
        <w:gridCol w:w="1520"/>
        <w:gridCol w:w="1520"/>
      </w:tblGrid>
      <w:tr>
        <w:tc>
          <w:tcPr>
            <w:tcW w:type="dxa" w:w="160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Data graph name</w:t>
            </w:r>
          </w:p>
        </w:tc>
        <w:tc>
          <w:tcPr>
            <w:tcW w:type="dxa" w:w="160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API name</w:t>
            </w:r>
          </w:p>
        </w:tc>
        <w:tc>
          <w:tcPr>
            <w:tcW w:type="dxa" w:w="201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DMOs included</w:t>
            </w:r>
          </w:p>
        </w:tc>
        <w:tc>
          <w:tcPr>
            <w:tcW w:type="dxa" w:w="201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Relationships used (§4.2)</w:t>
            </w:r>
          </w:p>
        </w:tc>
        <w:tc>
          <w:tcPr>
            <w:tcW w:type="dxa" w:w="134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Zero-copy DMOs?</w:t>
            </w:r>
          </w:p>
        </w:tc>
        <w:tc>
          <w:tcPr>
            <w:tcW w:type="dxa" w:w="134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Refresh mode</w:t>
            </w:r>
          </w:p>
        </w:tc>
        <w:tc>
          <w:tcPr>
            <w:tcW w:type="dxa" w:w="174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Consumers</w:t>
            </w:r>
          </w:p>
        </w:tc>
        <w:tc>
          <w:tcPr>
            <w:tcW w:type="dxa" w:w="80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Migrate?</w:t>
            </w:r>
          </w:p>
        </w:tc>
        <w:tc>
          <w:tcPr>
            <w:tcW w:type="dxa" w:w="120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Rebuild path</w:t>
            </w:r>
          </w:p>
        </w:tc>
      </w:tr>
      <w:tr>
        <w:tc>
          <w:tcPr>
            <w:tcW w:type="dxa" w:w="160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60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01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01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4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4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4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8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60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60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01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01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4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4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4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8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60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60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01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01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4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4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4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8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0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60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60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01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01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4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4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4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8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0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bl>
    <w:p>
      <w:pPr>
        <w:keepNext/>
        <w:spacing w:before="320" w:after="140"/>
        <w:pBdr>
          <w:bottom w:val="single" w:sz="12" w:space="2" w:color="16233D"/>
        </w:pBdr>
      </w:pPr>
      <w:r>
        <w:rPr>
          <w:rFonts w:ascii="Calibri" w:hAnsi="Calibri"/>
          <w:b/>
          <w:color w:val="C89B3C"/>
          <w:sz w:val="30"/>
        </w:rPr>
        <w:t xml:space="preserve">7    </w:t>
      </w:r>
      <w:r>
        <w:rPr>
          <w:rFonts w:ascii="Calibri" w:hAnsi="Calibri"/>
          <w:b/>
          <w:color w:val="16233D"/>
          <w:sz w:val="26"/>
        </w:rPr>
        <w:t>SEGMENTS</w:t>
      </w:r>
    </w:p>
    <w:p>
      <w:pPr>
        <w:spacing w:after="100" w:line="252" w:lineRule="auto"/>
      </w:pPr>
      <w:r>
        <w:rPr>
          <w:rFonts w:ascii="Calibri" w:hAnsi="Calibri"/>
          <w:i/>
          <w:color w:val="898781"/>
          <w:sz w:val="17"/>
        </w:rPr>
        <w:t>▸ Object class 6 of 10 · phase SEGMENT. The programme baseline is 609 live segments across 6 destinations. This section is this data space's contribution to that number — it must reconcile. Deliverable: one segment definition per migrated row.</w:t>
      </w:r>
    </w:p>
    <w:p>
      <w:pPr>
        <w:keepNext/>
        <w:spacing w:before="220" w:after="80"/>
      </w:pPr>
      <w:r>
        <w:rPr>
          <w:rFonts w:ascii="Calibri" w:hAnsi="Calibri"/>
          <w:b/>
          <w:color w:val="16233D"/>
          <w:sz w:val="21"/>
        </w:rPr>
        <w:t>7.1  Segment inventory</w:t>
      </w:r>
      <w:r>
        <w:rPr>
          <w:rFonts w:ascii="Calibri" w:hAnsi="Calibri"/>
          <w:i/>
          <w:color w:val="898781"/>
          <w:sz w:val="17"/>
        </w:rPr>
        <w:t xml:space="preserve">   MANDATORY</w:t>
      </w:r>
    </w:p>
    <w:tbl>
      <w:tblPr>
        <w:tblW w:type="auto" w:w="0"/>
        <w:jc w:val="left"/>
        <w:tblLayout w:type="fixed"/>
        <w:tblLook w:firstColumn="1" w:firstRow="1" w:lastColumn="0" w:lastRow="0" w:noHBand="0" w:noVBand="1" w:val="04A0"/>
      </w:tblPr>
      <w:tblGrid>
        <w:gridCol w:w="1244"/>
        <w:gridCol w:w="1244"/>
        <w:gridCol w:w="1244"/>
        <w:gridCol w:w="1244"/>
        <w:gridCol w:w="1244"/>
        <w:gridCol w:w="1244"/>
        <w:gridCol w:w="1244"/>
        <w:gridCol w:w="1244"/>
        <w:gridCol w:w="1244"/>
        <w:gridCol w:w="1244"/>
        <w:gridCol w:w="1244"/>
      </w:tblGrid>
      <w:tr>
        <w:tc>
          <w:tcPr>
            <w:tcW w:type="dxa" w:w="144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Segment name</w:t>
            </w:r>
          </w:p>
        </w:tc>
        <w:tc>
          <w:tcPr>
            <w:tcW w:type="dxa" w:w="144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API name</w:t>
            </w:r>
          </w:p>
        </w:tc>
        <w:tc>
          <w:tcPr>
            <w:tcW w:type="dxa" w:w="171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Business purpose</w:t>
            </w:r>
          </w:p>
        </w:tc>
        <w:tc>
          <w:tcPr>
            <w:tcW w:type="dxa" w:w="131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Segment-on entity</w:t>
            </w:r>
          </w:p>
        </w:tc>
        <w:tc>
          <w:tcPr>
            <w:tcW w:type="dxa" w:w="92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Population</w:t>
            </w:r>
          </w:p>
        </w:tc>
        <w:tc>
          <w:tcPr>
            <w:tcW w:type="dxa" w:w="118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Refresh cadence</w:t>
            </w:r>
          </w:p>
        </w:tc>
        <w:tc>
          <w:tcPr>
            <w:tcW w:type="dxa" w:w="118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Publish schedule</w:t>
            </w:r>
          </w:p>
        </w:tc>
        <w:tc>
          <w:tcPr>
            <w:tcW w:type="dxa" w:w="105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Owner</w:t>
            </w:r>
          </w:p>
        </w:tc>
        <w:tc>
          <w:tcPr>
            <w:tcW w:type="dxa" w:w="144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Destination(s)</w:t>
            </w:r>
          </w:p>
        </w:tc>
        <w:tc>
          <w:tcPr>
            <w:tcW w:type="dxa" w:w="78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Migrate?</w:t>
            </w:r>
          </w:p>
        </w:tc>
        <w:tc>
          <w:tcPr>
            <w:tcW w:type="dxa" w:w="118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Rebuild path</w:t>
            </w:r>
          </w:p>
        </w:tc>
      </w:tr>
      <w:tr>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44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44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4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44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44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4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44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44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4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44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44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4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92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4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8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bl>
    <w:p>
      <w:pPr>
        <w:spacing w:after="100" w:line="252" w:lineRule="auto"/>
      </w:pPr>
      <w:r>
        <w:rPr>
          <w:rFonts w:ascii="Calibri" w:hAnsi="Calibri"/>
          <w:i/>
          <w:color w:val="898781"/>
          <w:sz w:val="17"/>
        </w:rPr>
        <w:t>▸ Segment-on entity is the DMO the segment counts (individual, account, or a custom DMO) — it determines what the population number even means, so two segments with the same count are not comparable without it. Member lists retrieved from the platform return opaque IDs, so populations quoted here should come from the segment's own published count or from a SQL join, not from eyeballing a member export.</w:t>
      </w:r>
    </w:p>
    <w:p>
      <w:pPr>
        <w:keepNext/>
        <w:spacing w:before="220" w:after="80"/>
      </w:pPr>
      <w:r>
        <w:rPr>
          <w:rFonts w:ascii="Calibri" w:hAnsi="Calibri"/>
          <w:b/>
          <w:color w:val="16233D"/>
          <w:sz w:val="21"/>
        </w:rPr>
        <w:t>7.2  Segment logic &amp; upstream dependencies</w:t>
      </w:r>
      <w:r>
        <w:rPr>
          <w:rFonts w:ascii="Calibri" w:hAnsi="Calibri"/>
          <w:i/>
          <w:color w:val="898781"/>
          <w:sz w:val="17"/>
        </w:rPr>
        <w:t xml:space="preserve">   MANDATORY for every migrated segment</w:t>
      </w:r>
    </w:p>
    <w:p>
      <w:pPr>
        <w:spacing w:after="100" w:line="252" w:lineRule="auto"/>
      </w:pPr>
      <w:r>
        <w:rPr>
          <w:rFonts w:ascii="Calibri" w:hAnsi="Calibri"/>
          <w:i/>
          <w:color w:val="898781"/>
          <w:sz w:val="17"/>
        </w:rPr>
        <w:t>▸ A segment is not migratable from its name and population alone. Summarise the filter logic, name the exclusions, and — critically — name the CI, data graph or calculated field it depends on. This is the reciprocal of §6.1: if a CI is dropped there and a segment depends on it here, the record catches it before build rather than after cutover.</w:t>
      </w:r>
    </w:p>
    <w:tbl>
      <w:tblPr>
        <w:tblW w:type="auto" w:w="0"/>
        <w:jc w:val="left"/>
        <w:tblLayout w:type="fixed"/>
        <w:tblLook w:firstColumn="1" w:firstRow="1" w:lastColumn="0" w:lastRow="0" w:noHBand="0" w:noVBand="1" w:val="04A0"/>
      </w:tblPr>
      <w:tblGrid>
        <w:gridCol w:w="1954"/>
        <w:gridCol w:w="1954"/>
        <w:gridCol w:w="1954"/>
        <w:gridCol w:w="1954"/>
        <w:gridCol w:w="1954"/>
        <w:gridCol w:w="1954"/>
        <w:gridCol w:w="1954"/>
      </w:tblGrid>
      <w:tr>
        <w:tc>
          <w:tcPr>
            <w:tcW w:type="dxa" w:w="172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Segment API name</w:t>
            </w:r>
          </w:p>
        </w:tc>
        <w:tc>
          <w:tcPr>
            <w:tcW w:type="dxa" w:w="318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Filter logic summary</w:t>
            </w:r>
          </w:p>
        </w:tc>
        <w:tc>
          <w:tcPr>
            <w:tcW w:type="dxa" w:w="252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Exclusion / suppression criteria</w:t>
            </w:r>
          </w:p>
        </w:tc>
        <w:tc>
          <w:tcPr>
            <w:tcW w:type="dxa" w:w="159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Depends on CI (§6.1)</w:t>
            </w:r>
          </w:p>
        </w:tc>
        <w:tc>
          <w:tcPr>
            <w:tcW w:type="dxa" w:w="159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Depends on graph (§6.2)</w:t>
            </w:r>
          </w:p>
        </w:tc>
        <w:tc>
          <w:tcPr>
            <w:tcW w:type="dxa" w:w="172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Depends on EXT-2/3 field?</w:t>
            </w:r>
          </w:p>
        </w:tc>
        <w:tc>
          <w:tcPr>
            <w:tcW w:type="dxa" w:w="132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Logic changes?</w:t>
            </w:r>
          </w:p>
        </w:tc>
      </w:tr>
      <w:tr>
        <w:tc>
          <w:tcPr>
            <w:tcW w:type="dxa" w:w="172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318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52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2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3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72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318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52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2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3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72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318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52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2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3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72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318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52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2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3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72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318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52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2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3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72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318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52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2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3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72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318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52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2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3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72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318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52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9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2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3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bl>
    <w:p>
      <w:pPr>
        <w:spacing w:after="100" w:line="252" w:lineRule="auto"/>
      </w:pPr>
      <w:r>
        <w:rPr>
          <w:rFonts w:ascii="Calibri" w:hAnsi="Calibri"/>
          <w:i/>
          <w:color w:val="898781"/>
          <w:sz w:val="17"/>
        </w:rPr>
        <w:t>▸ ‘Depends on EXT-2/3 field’ links back to §4.3: a segment built on a newly added field cannot be lifted and shifted unchanged, and its parity test in §12.2 needs a redefined expected value rather than a like-for-like comparison.</w:t>
      </w:r>
    </w:p>
    <w:p>
      <w:pPr>
        <w:keepNext/>
        <w:spacing w:before="220" w:after="80"/>
      </w:pPr>
      <w:r>
        <w:rPr>
          <w:rFonts w:ascii="Calibri" w:hAnsi="Calibri"/>
          <w:b/>
          <w:color w:val="16233D"/>
          <w:sz w:val="21"/>
        </w:rPr>
        <w:t>7.3  Segment counts (reconciliation)</w:t>
      </w:r>
    </w:p>
    <w:tbl>
      <w:tblPr>
        <w:tblW w:type="auto" w:w="0"/>
        <w:jc w:val="left"/>
        <w:tblLayout w:type="fixed"/>
        <w:tblLook w:firstColumn="1" w:firstRow="1" w:lastColumn="0" w:lastRow="0" w:noHBand="0" w:noVBand="1" w:val="04A0"/>
      </w:tblPr>
      <w:tblGrid>
        <w:gridCol w:w="4560"/>
        <w:gridCol w:w="4560"/>
        <w:gridCol w:w="4560"/>
      </w:tblGrid>
      <w:tr>
        <w:tc>
          <w:tcPr>
            <w:tcW w:type="dxa" w:w="505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Measure</w:t>
            </w:r>
          </w:p>
        </w:tc>
        <w:tc>
          <w:tcPr>
            <w:tcW w:type="dxa" w:w="148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Count</w:t>
            </w:r>
          </w:p>
        </w:tc>
        <w:tc>
          <w:tcPr>
            <w:tcW w:type="dxa" w:w="713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Note</w:t>
            </w:r>
          </w:p>
        </w:tc>
      </w:tr>
      <w:tr>
        <w:tc>
          <w:tcPr>
            <w:tcW w:type="dxa" w:w="50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Live segments in this data space</w:t>
            </w:r>
          </w:p>
        </w:tc>
        <w:tc>
          <w:tcPr>
            <w:tcW w:type="dxa" w:w="148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7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must reconcile to the 609 programme total</w:t>
            </w:r>
          </w:p>
        </w:tc>
      </w:tr>
      <w:tr>
        <w:tc>
          <w:tcPr>
            <w:tcW w:type="dxa" w:w="50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Segments to migrate</w:t>
            </w:r>
          </w:p>
        </w:tc>
        <w:tc>
          <w:tcPr>
            <w:tcW w:type="dxa" w:w="148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7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50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Segments to DROP</w:t>
            </w:r>
          </w:p>
        </w:tc>
        <w:tc>
          <w:tcPr>
            <w:tcW w:type="dxa" w:w="148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7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approver + date required</w:t>
            </w:r>
          </w:p>
        </w:tc>
      </w:tr>
      <w:tr>
        <w:tc>
          <w:tcPr>
            <w:tcW w:type="dxa" w:w="50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Segments needing redefinition (model change)</w:t>
            </w:r>
          </w:p>
        </w:tc>
        <w:tc>
          <w:tcPr>
            <w:tcW w:type="dxa" w:w="148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7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EXT-2/EXT-3 fields may change segment logic</w:t>
            </w:r>
          </w:p>
        </w:tc>
      </w:tr>
      <w:tr>
        <w:tc>
          <w:tcPr>
            <w:tcW w:type="dxa" w:w="50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Segments depending on a CI or data graph</w:t>
            </w:r>
          </w:p>
        </w:tc>
        <w:tc>
          <w:tcPr>
            <w:tcW w:type="dxa" w:w="148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7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must all appear in §7.2 with the dependency named</w:t>
            </w:r>
          </w:p>
        </w:tc>
      </w:tr>
      <w:tr>
        <w:tc>
          <w:tcPr>
            <w:tcW w:type="dxa" w:w="50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Segments with rebuild path MANUAL UI</w:t>
            </w:r>
          </w:p>
        </w:tc>
        <w:tc>
          <w:tcPr>
            <w:tcW w:type="dxa" w:w="148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7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effort driver — carry into §12.4</w:t>
            </w:r>
          </w:p>
        </w:tc>
      </w:tr>
    </w:tbl>
    <w:tbl>
      <w:tblPr>
        <w:tblW w:type="auto" w:w="0"/>
        <w:tblLayout w:type="fixed"/>
        <w:tblLook w:firstColumn="1" w:firstRow="1" w:lastColumn="0" w:lastRow="0" w:noHBand="0" w:noVBand="1" w:val="04A0"/>
      </w:tblPr>
      <w:tblGrid>
        <w:gridCol w:w="13680"/>
      </w:tblGrid>
      <w:tr>
        <w:tc>
          <w:tcPr>
            <w:tcW w:type="dxa" w:w="13680"/>
            <w:shd w:val="clear" w:color="auto" w:fill="FAEEEC"/>
            <w:tcBorders>
              <w:top w:val="nil"/>
              <w:left w:val="nil"/>
              <w:bottom w:val="nil"/>
              <w:right w:val="nil"/>
            </w:tcBorders>
            <w:tcBorders>
              <w:left w:val="single" w:sz="18" w:color="C0392B"/>
            </w:tcBorders>
          </w:tcPr>
          <w:p>
            <w:pPr>
              <w:spacing w:after="40"/>
            </w:pPr>
            <w:r/>
            <w:r>
              <w:rPr>
                <w:rFonts w:ascii="Calibri" w:hAnsi="Calibri"/>
                <w:b/>
                <w:color w:val="16233D"/>
                <w:sz w:val="19"/>
              </w:rPr>
              <w:t>Governance rule to capture here, not later</w:t>
            </w:r>
          </w:p>
          <w:p>
            <w:pPr>
              <w:spacing w:after="40" w:line="264" w:lineRule="auto"/>
            </w:pPr>
            <w:r>
              <w:rPr>
                <w:rFonts w:ascii="Calibri" w:hAnsi="Calibri"/>
                <w:color w:val="52514E"/>
                <w:sz w:val="17"/>
              </w:rPr>
              <w:t>Post-conversion, segments live in the Home Org only — a segment activated from the Home Org can only be updated in the Home Org, and companion orgs can neither reconnect nor own activations. Record WHO authors segments in this data space today, so the companion-org permission model can be designed before conversion rather than retrofitted. This is programme risk 6: it must be enforced by permissions, not by process.</w:t>
            </w:r>
          </w:p>
        </w:tc>
      </w:tr>
    </w:tbl>
    <w:p>
      <w:pPr>
        <w:spacing w:after="40"/>
      </w:pPr>
    </w:p>
    <w:p>
      <w:pPr>
        <w:keepNext/>
        <w:spacing w:before="320" w:after="140"/>
        <w:pBdr>
          <w:bottom w:val="single" w:sz="12" w:space="2" w:color="16233D"/>
        </w:pBdr>
      </w:pPr>
      <w:r>
        <w:rPr>
          <w:rFonts w:ascii="Calibri" w:hAnsi="Calibri"/>
          <w:b/>
          <w:color w:val="C89B3C"/>
          <w:sz w:val="30"/>
        </w:rPr>
        <w:t xml:space="preserve">8    </w:t>
      </w:r>
      <w:r>
        <w:rPr>
          <w:rFonts w:ascii="Calibri" w:hAnsi="Calibri"/>
          <w:b/>
          <w:color w:val="16233D"/>
          <w:sz w:val="26"/>
        </w:rPr>
        <w:t>ACTIVATIONS &amp; DESTINATIONS</w:t>
      </w:r>
    </w:p>
    <w:p>
      <w:pPr>
        <w:spacing w:after="100" w:line="252" w:lineRule="auto"/>
      </w:pPr>
      <w:r>
        <w:rPr>
          <w:rFonts w:ascii="Calibri" w:hAnsi="Calibri"/>
          <w:i/>
          <w:color w:val="898781"/>
          <w:sz w:val="17"/>
        </w:rPr>
        <w:t>▸ Object class 7 of 10 · phase ACT. The single highest-value section in the record — the continuity playbook for cutover is chosen from the activation mechanism column. Deliverable: activation + activation-target definitions for NATIVE rows; data-action + data-action-target definitions for CUSTOM rows fed by a Data Action. These are four different object types and cannot be substituted for one another.</w:t>
      </w:r>
    </w:p>
    <w:tbl>
      <w:tblPr>
        <w:tblW w:type="auto" w:w="0"/>
        <w:tblLayout w:type="fixed"/>
        <w:tblLook w:firstColumn="1" w:firstRow="1" w:lastColumn="0" w:lastRow="0" w:noHBand="0" w:noVBand="1" w:val="04A0"/>
      </w:tblPr>
      <w:tblGrid>
        <w:gridCol w:w="13680"/>
      </w:tblGrid>
      <w:tr>
        <w:tc>
          <w:tcPr>
            <w:tcW w:type="dxa" w:w="13680"/>
            <w:shd w:val="clear" w:color="auto" w:fill="ECEAE4"/>
            <w:tcBorders>
              <w:top w:val="nil"/>
              <w:left w:val="nil"/>
              <w:bottom w:val="nil"/>
              <w:right w:val="nil"/>
            </w:tcBorders>
            <w:tcBorders>
              <w:left w:val="single" w:sz="18" w:color="C89B3C"/>
            </w:tcBorders>
          </w:tcPr>
          <w:p>
            <w:pPr>
              <w:spacing w:after="40"/>
            </w:pPr>
            <w:r/>
            <w:r>
              <w:rPr>
                <w:rFonts w:ascii="Calibri" w:hAnsi="Calibri"/>
                <w:b/>
                <w:color w:val="16233D"/>
                <w:sz w:val="19"/>
              </w:rPr>
              <w:t>MANDATORY — activation mechanism must be classified NATIVE or CUSTOM for every row</w:t>
            </w:r>
          </w:p>
          <w:p>
            <w:pPr>
              <w:spacing w:after="40" w:line="264" w:lineRule="auto"/>
            </w:pPr>
            <w:r>
              <w:rPr>
                <w:rFonts w:ascii="Calibri" w:hAnsi="Calibri"/>
                <w:color w:val="52514E"/>
                <w:sz w:val="17"/>
              </w:rPr>
              <w:t>The entire continuity approach assumes standard native Data Cloud activation targets. If a destination is fed today by a custom export, API call or Data Action instead, its cutover playbook changes materially (programme risk 4). An unclassified row blocks status 30. NATIVE = a standard Data Cloud activation target. CUSTOM = anything else — and CUSTOM must be sub-classified, because the four kinds carry different work: DATA ACTION (a platform object, deployable from a definition file, needs its own target), APEX (code to be migrated and retested), MIDDLEWARE (an external system with its own change control and lead time), MANUAL (a human file drop — needs a named owner or it will not survive cutover).</w:t>
            </w:r>
          </w:p>
        </w:tc>
      </w:tr>
    </w:tbl>
    <w:p>
      <w:pPr>
        <w:spacing w:after="40"/>
      </w:pPr>
    </w:p>
    <w:p>
      <w:pPr>
        <w:keepNext/>
        <w:spacing w:before="220" w:after="80"/>
      </w:pPr>
      <w:r>
        <w:rPr>
          <w:rFonts w:ascii="Calibri" w:hAnsi="Calibri"/>
          <w:b/>
          <w:color w:val="16233D"/>
          <w:sz w:val="21"/>
        </w:rPr>
        <w:t>8.1  Activation inventory</w:t>
      </w:r>
      <w:r>
        <w:rPr>
          <w:rFonts w:ascii="Calibri" w:hAnsi="Calibri"/>
          <w:i/>
          <w:color w:val="898781"/>
          <w:sz w:val="17"/>
        </w:rPr>
        <w:t xml:space="preserve">   MANDATORY</w:t>
      </w:r>
    </w:p>
    <w:p>
      <w:pPr>
        <w:spacing w:after="100" w:line="252" w:lineRule="auto"/>
      </w:pPr>
      <w:r>
        <w:rPr>
          <w:rFonts w:ascii="Calibri" w:hAnsi="Calibri"/>
          <w:i/>
          <w:color w:val="898781"/>
          <w:sz w:val="17"/>
        </w:rPr>
        <w:t>▸ Split across two tables joined on the activation API name: 8.1a is what the activation IS, 8.1b is what it SENDS. Keep the API name identical in both — it is the join key, and a row present in one table but not the other is an incomplete record.</w:t>
      </w:r>
    </w:p>
    <w:p>
      <w:pPr>
        <w:spacing w:after="60" w:before="0" w:line="259" w:lineRule="auto"/>
      </w:pPr>
      <w:r>
        <w:rPr>
          <w:rFonts w:ascii="Calibri" w:hAnsi="Calibri"/>
          <w:b/>
          <w:i w:val="0"/>
          <w:color w:val="16233D"/>
          <w:sz w:val="18"/>
        </w:rPr>
        <w:t>8.1a  Activation identity &amp; mechanism</w:t>
      </w:r>
    </w:p>
    <w:tbl>
      <w:tblPr>
        <w:tblW w:type="auto" w:w="0"/>
        <w:jc w:val="left"/>
        <w:tblLayout w:type="fixed"/>
        <w:tblLook w:firstColumn="1" w:firstRow="1" w:lastColumn="0" w:lastRow="0" w:noHBand="0" w:noVBand="1" w:val="04A0"/>
      </w:tblPr>
      <w:tblGrid>
        <w:gridCol w:w="1520"/>
        <w:gridCol w:w="1520"/>
        <w:gridCol w:w="1520"/>
        <w:gridCol w:w="1520"/>
        <w:gridCol w:w="1520"/>
        <w:gridCol w:w="1520"/>
        <w:gridCol w:w="1520"/>
        <w:gridCol w:w="1520"/>
        <w:gridCol w:w="1520"/>
      </w:tblGrid>
      <w:tr>
        <w:tc>
          <w:tcPr>
            <w:tcW w:type="dxa" w:w="176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Activation name</w:t>
            </w:r>
          </w:p>
        </w:tc>
        <w:tc>
          <w:tcPr>
            <w:tcW w:type="dxa" w:w="176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API name</w:t>
            </w:r>
          </w:p>
        </w:tc>
        <w:tc>
          <w:tcPr>
            <w:tcW w:type="dxa" w:w="149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Destination</w:t>
            </w:r>
          </w:p>
        </w:tc>
        <w:tc>
          <w:tcPr>
            <w:tcW w:type="dxa" w:w="121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Mechanism</w:t>
            </w:r>
          </w:p>
        </w:tc>
        <w:tc>
          <w:tcPr>
            <w:tcW w:type="dxa" w:w="149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CUSTOM sub-type</w:t>
            </w:r>
          </w:p>
        </w:tc>
        <w:tc>
          <w:tcPr>
            <w:tcW w:type="dxa" w:w="203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Activation target API name</w:t>
            </w:r>
          </w:p>
        </w:tc>
        <w:tc>
          <w:tcPr>
            <w:tcW w:type="dxa" w:w="189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Segment(s) activated</w:t>
            </w:r>
          </w:p>
        </w:tc>
        <w:tc>
          <w:tcPr>
            <w:tcW w:type="dxa" w:w="81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Migrate?</w:t>
            </w:r>
          </w:p>
        </w:tc>
        <w:tc>
          <w:tcPr>
            <w:tcW w:type="dxa" w:w="121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Rebuild path</w:t>
            </w:r>
          </w:p>
        </w:tc>
      </w:tr>
      <w:tr>
        <w:tc>
          <w:tcPr>
            <w:tcW w:type="dxa" w:w="176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76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0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89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81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76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76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0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89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81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76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76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0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89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81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76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76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0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89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81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76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76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0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89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81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76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76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0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89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81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76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76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0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89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81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76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76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0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89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81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1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bl>
    <w:p>
      <w:pPr>
        <w:spacing w:after="100" w:line="252" w:lineRule="auto"/>
      </w:pPr>
      <w:r>
        <w:rPr>
          <w:rFonts w:ascii="Calibri" w:hAnsi="Calibri"/>
          <w:i/>
          <w:color w:val="898781"/>
          <w:sz w:val="17"/>
        </w:rPr>
        <w:t>▸ Mechanism: NATIVE / CUSTOM. CUSTOM sub-type: DATA ACTION · APEX · MIDDLEWARE · MANUAL — leave blank only where mechanism is NATIVE. The activation target is a separate object from the activation itself and must be created first; record its API name so the build order in §12.4 is derivable.</w:t>
      </w:r>
    </w:p>
    <w:p>
      <w:pPr>
        <w:spacing w:after="60" w:before="0" w:line="259" w:lineRule="auto"/>
      </w:pPr>
      <w:r>
        <w:rPr>
          <w:rFonts w:ascii="Calibri" w:hAnsi="Calibri"/>
          <w:b/>
          <w:i w:val="0"/>
          <w:color w:val="16233D"/>
          <w:sz w:val="18"/>
        </w:rPr>
        <w:t>8.1b  Payload, consent &amp; cutover</w:t>
      </w:r>
    </w:p>
    <w:tbl>
      <w:tblPr>
        <w:tblW w:type="auto" w:w="0"/>
        <w:jc w:val="left"/>
        <w:tblLayout w:type="fixed"/>
        <w:tblLook w:firstColumn="1" w:firstRow="1" w:lastColumn="0" w:lastRow="0" w:noHBand="0" w:noVBand="1" w:val="04A0"/>
      </w:tblPr>
      <w:tblGrid>
        <w:gridCol w:w="1954"/>
        <w:gridCol w:w="1954"/>
        <w:gridCol w:w="1954"/>
        <w:gridCol w:w="1954"/>
        <w:gridCol w:w="1954"/>
        <w:gridCol w:w="1954"/>
        <w:gridCol w:w="1954"/>
      </w:tblGrid>
      <w:tr>
        <w:tc>
          <w:tcPr>
            <w:tcW w:type="dxa" w:w="213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Activation API name</w:t>
            </w:r>
          </w:p>
        </w:tc>
        <w:tc>
          <w:tcPr>
            <w:tcW w:type="dxa" w:w="342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Attributes sent (count + key fields)</w:t>
            </w:r>
          </w:p>
        </w:tc>
        <w:tc>
          <w:tcPr>
            <w:tcW w:type="dxa" w:w="213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of which PII / special category</w:t>
            </w:r>
          </w:p>
        </w:tc>
        <w:tc>
          <w:tcPr>
            <w:tcW w:type="dxa" w:w="156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Consent basis</w:t>
            </w:r>
          </w:p>
        </w:tc>
        <w:tc>
          <w:tcPr>
            <w:tcW w:type="dxa" w:w="128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Cadence</w:t>
            </w:r>
          </w:p>
        </w:tc>
        <w:tc>
          <w:tcPr>
            <w:tcW w:type="dxa" w:w="171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Re-create from Home Org?</w:t>
            </w:r>
          </w:p>
        </w:tc>
        <w:tc>
          <w:tcPr>
            <w:tcW w:type="dxa" w:w="142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Owner</w:t>
            </w:r>
          </w:p>
        </w:tc>
      </w:tr>
      <w:tr>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2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2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2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2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2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2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42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42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bl>
    <w:p>
      <w:pPr>
        <w:spacing w:after="100" w:line="252" w:lineRule="auto"/>
      </w:pPr>
      <w:r>
        <w:rPr>
          <w:rFonts w:ascii="Calibri" w:hAnsi="Calibri"/>
          <w:i/>
          <w:color w:val="898781"/>
          <w:sz w:val="17"/>
        </w:rPr>
        <w:t>▸ ‘of which PII / special category’ cross-checks §4.3 and §9.2 — a special-category attribute leaving the market needs an explicit DPO note in §9.1. Consent basis must name the attribute or flag that gates the send, not just the legal basis in the abstract.</w:t>
      </w:r>
    </w:p>
    <w:p>
      <w:pPr>
        <w:keepNext/>
        <w:spacing w:before="220" w:after="80"/>
      </w:pPr>
      <w:r>
        <w:rPr>
          <w:rFonts w:ascii="Calibri" w:hAnsi="Calibri"/>
          <w:b/>
          <w:color w:val="16233D"/>
          <w:sz w:val="21"/>
        </w:rPr>
        <w:t>8.2  Destination detail &amp; cutover pattern</w:t>
      </w:r>
    </w:p>
    <w:p>
      <w:pPr>
        <w:spacing w:after="100" w:line="252" w:lineRule="auto"/>
      </w:pPr>
      <w:r>
        <w:rPr>
          <w:rFonts w:ascii="Calibri" w:hAnsi="Calibri"/>
          <w:i/>
          <w:color w:val="898781"/>
          <w:sz w:val="17"/>
        </w:rPr>
        <w:t>▸ For each destination in scope for this data space, record the account/identifier the activation targets and the cutover lead time. The general pattern is shadow-connect from the Home Org → ramp and validate in parallel → swap in place → deactivate legacy. Reconnection from a companion org is never possible.</w:t>
      </w:r>
    </w:p>
    <w:tbl>
      <w:tblPr>
        <w:tblW w:type="auto" w:w="0"/>
        <w:jc w:val="left"/>
        <w:tblLayout w:type="fixed"/>
        <w:tblLook w:firstColumn="1" w:firstRow="1" w:lastColumn="0" w:lastRow="0" w:noHBand="0" w:noVBand="1" w:val="04A0"/>
      </w:tblPr>
      <w:tblGrid>
        <w:gridCol w:w="2736"/>
        <w:gridCol w:w="2736"/>
        <w:gridCol w:w="2736"/>
        <w:gridCol w:w="2736"/>
        <w:gridCol w:w="2736"/>
      </w:tblGrid>
      <w:tr>
        <w:tc>
          <w:tcPr>
            <w:tcW w:type="dxa" w:w="213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Destination</w:t>
            </w:r>
          </w:p>
        </w:tc>
        <w:tc>
          <w:tcPr>
            <w:tcW w:type="dxa" w:w="199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Account / identifier</w:t>
            </w:r>
          </w:p>
        </w:tc>
        <w:tc>
          <w:tcPr>
            <w:tcW w:type="dxa" w:w="128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In scope here?</w:t>
            </w:r>
          </w:p>
        </w:tc>
        <w:tc>
          <w:tcPr>
            <w:tcW w:type="dxa" w:w="342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Cutover lead time</w:t>
            </w:r>
          </w:p>
        </w:tc>
        <w:tc>
          <w:tcPr>
            <w:tcW w:type="dxa" w:w="484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Watch-out</w:t>
            </w:r>
          </w:p>
        </w:tc>
      </w:tr>
      <w:tr>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Marketing Cloud (REU / ROS)</w:t>
            </w:r>
          </w:p>
        </w:tc>
        <w:tc>
          <w:tcPr>
            <w:tcW w:type="dxa" w:w="19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«BU + DE names»</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«Y/N»</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connector 1–2 d; 3–5 PD per journey incl. UAT; ~1–2 wk per BU</w:t>
            </w:r>
          </w:p>
        </w:tc>
        <w:tc>
          <w:tcPr>
            <w:tcW w:type="dxa" w:w="484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journeys are copyable but lose history — prefer swapping entry source / DE</w:t>
            </w:r>
          </w:p>
        </w:tc>
      </w:tr>
      <w:tr>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DV360</w:t>
            </w:r>
          </w:p>
        </w:tc>
        <w:tc>
          <w:tcPr>
            <w:tcW w:type="dxa" w:w="19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«advertiser ID»</w:t>
            </w:r>
          </w:p>
        </w:tc>
        <w:tc>
          <w:tcPr>
            <w:tcW w:type="dxa" w:w="12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«Y/N»</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setup 0.5–1 d; match ramp 24–48 h+; 2–5 business days</w:t>
            </w:r>
          </w:p>
        </w:tc>
        <w:tc>
          <w:tcPr>
            <w:tcW w:type="dxa" w:w="484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advertiser-level auth required — partner-level yields zero EEA matches</w:t>
            </w:r>
          </w:p>
        </w:tc>
      </w:tr>
      <w:tr>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Google Ads</w:t>
            </w:r>
          </w:p>
        </w:tc>
        <w:tc>
          <w:tcPr>
            <w:tcW w:type="dxa" w:w="19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«Customer Match list»</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«Y/N»</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setup 0.5 d; list processing 24–48 h; 2–5 d</w:t>
            </w:r>
          </w:p>
        </w:tc>
        <w:tc>
          <w:tcPr>
            <w:tcW w:type="dxa" w:w="484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swap gate is new list matched size ≥ ~90% of legacy; small segments risk the serving floor</w:t>
            </w:r>
          </w:p>
        </w:tc>
      </w:tr>
      <w:tr>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Meta</w:t>
            </w:r>
          </w:p>
        </w:tc>
        <w:tc>
          <w:tcPr>
            <w:tcW w:type="dxa" w:w="19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«Custom Audience / BM»</w:t>
            </w:r>
          </w:p>
        </w:tc>
        <w:tc>
          <w:tcPr>
            <w:tcW w:type="dxa" w:w="12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«Y/N»</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setup 0.5 d; population hours–24 h; 1–3 d</w:t>
            </w:r>
          </w:p>
        </w:tc>
        <w:tc>
          <w:tcPr>
            <w:tcW w:type="dxa" w:w="484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duplication resets learning — prefer a staged in-place swap</w:t>
            </w:r>
          </w:p>
        </w:tc>
      </w:tr>
      <w:tr>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Meta CAPI</w:t>
            </w:r>
          </w:p>
        </w:tc>
        <w:tc>
          <w:tcPr>
            <w:tcW w:type="dxa" w:w="19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«pixel / dataset + token»</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«Y/N»</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setup 0.5–1 d; 1–2 d EMQ validation; 1–2 wk dual-fire</w:t>
            </w:r>
          </w:p>
        </w:tc>
        <w:tc>
          <w:tcPr>
            <w:tcW w:type="dxa" w:w="484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carries events, not segments; dual-fire with identical event_id → Meta dedups</w:t>
            </w:r>
          </w:p>
        </w:tc>
      </w:tr>
      <w:tr>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S3 bucket</w:t>
            </w:r>
          </w:p>
        </w:tc>
        <w:tc>
          <w:tcPr>
            <w:tcW w:type="dxa" w:w="19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«bucket / prefix»</w:t>
            </w:r>
          </w:p>
        </w:tc>
        <w:tc>
          <w:tcPr>
            <w:tcW w:type="dxa" w:w="12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«Y/N»</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0.5 d setup; same-day if identical bucket/prefix/naming</w:t>
            </w:r>
          </w:p>
        </w:tc>
        <w:tc>
          <w:tcPr>
            <w:tcW w:type="dxa" w:w="484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reuse identical path &amp; naming; checksum-compare; short freeze to avoid dup/missing files</w:t>
            </w:r>
          </w:p>
        </w:tc>
      </w:tr>
      <w:tr>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MCP</w:t>
            </w:r>
          </w:p>
        </w:tc>
        <w:tc>
          <w:tcPr>
            <w:tcW w:type="dxa" w:w="19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«dataset»</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«Y/N»</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2–5 d if re-pointable; else 1–3 wk dataset migration</w:t>
            </w:r>
          </w:p>
        </w:tc>
        <w:tc>
          <w:tcPr>
            <w:tcW w:type="dxa" w:w="484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decision D2 — direct re-point vs S3/SFTP bridge; sequence MCP last</w:t>
            </w:r>
          </w:p>
        </w:tc>
      </w:tr>
      <w:tr>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«Other / custom»</w:t>
            </w:r>
          </w:p>
        </w:tc>
        <w:tc>
          <w:tcPr>
            <w:tcW w:type="dxa" w:w="19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2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«Y/N»</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484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bl>
    <w:p>
      <w:pPr>
        <w:keepNext/>
        <w:spacing w:before="220" w:after="80"/>
      </w:pPr>
      <w:r>
        <w:rPr>
          <w:rFonts w:ascii="Calibri" w:hAnsi="Calibri"/>
          <w:b/>
          <w:color w:val="16233D"/>
          <w:sz w:val="21"/>
        </w:rPr>
        <w:t>8.3  MC journey dependencies</w:t>
      </w:r>
    </w:p>
    <w:p>
      <w:pPr>
        <w:spacing w:after="100" w:line="252" w:lineRule="auto"/>
      </w:pPr>
      <w:r>
        <w:rPr>
          <w:rFonts w:ascii="Calibri" w:hAnsi="Calibri"/>
          <w:i/>
          <w:color w:val="898781"/>
          <w:sz w:val="17"/>
        </w:rPr>
        <w:t>▸ Journey count and complexity is the dominant swing factor in the whole programme (DE remapping ≈ 3–5 PD per journey including UAT). Be precise here — this is where the ±30% estimate is won or lost.</w:t>
      </w:r>
    </w:p>
    <w:tbl>
      <w:tblPr>
        <w:tblW w:type="auto" w:w="0"/>
        <w:jc w:val="left"/>
        <w:tblLayout w:type="fixed"/>
        <w:tblLook w:firstColumn="1" w:firstRow="1" w:lastColumn="0" w:lastRow="0" w:noHBand="0" w:noVBand="1" w:val="04A0"/>
      </w:tblPr>
      <w:tblGrid>
        <w:gridCol w:w="2280"/>
        <w:gridCol w:w="2280"/>
        <w:gridCol w:w="2280"/>
        <w:gridCol w:w="2280"/>
        <w:gridCol w:w="2280"/>
        <w:gridCol w:w="2280"/>
      </w:tblGrid>
      <w:tr>
        <w:tc>
          <w:tcPr>
            <w:tcW w:type="dxa" w:w="317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Journey name</w:t>
            </w:r>
          </w:p>
        </w:tc>
        <w:tc>
          <w:tcPr>
            <w:tcW w:type="dxa" w:w="150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MC BU</w:t>
            </w:r>
          </w:p>
        </w:tc>
        <w:tc>
          <w:tcPr>
            <w:tcW w:type="dxa" w:w="317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Entry source / DE</w:t>
            </w:r>
          </w:p>
        </w:tc>
        <w:tc>
          <w:tcPr>
            <w:tcW w:type="dxa" w:w="166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Complexity</w:t>
            </w:r>
          </w:p>
        </w:tc>
        <w:tc>
          <w:tcPr>
            <w:tcW w:type="dxa" w:w="216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Remap effort (PD)</w:t>
            </w:r>
          </w:p>
        </w:tc>
        <w:tc>
          <w:tcPr>
            <w:tcW w:type="dxa" w:w="200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Owner</w:t>
            </w:r>
          </w:p>
        </w:tc>
      </w:tr>
      <w:tr>
        <w:tc>
          <w:tcPr>
            <w:tcW w:type="dxa" w:w="317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150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17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6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16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317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150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17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66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16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0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317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150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17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6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16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317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150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17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66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16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0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317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150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17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6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16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317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150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17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66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16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0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317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150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17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6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16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0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bl>
    <w:p>
      <w:pPr>
        <w:keepNext/>
        <w:spacing w:before="320" w:after="140"/>
        <w:pBdr>
          <w:bottom w:val="single" w:sz="12" w:space="2" w:color="16233D"/>
        </w:pBdr>
      </w:pPr>
      <w:r>
        <w:rPr>
          <w:rFonts w:ascii="Calibri" w:hAnsi="Calibri"/>
          <w:b/>
          <w:color w:val="C89B3C"/>
          <w:sz w:val="30"/>
        </w:rPr>
        <w:t xml:space="preserve">9    </w:t>
      </w:r>
      <w:r>
        <w:rPr>
          <w:rFonts w:ascii="Calibri" w:hAnsi="Calibri"/>
          <w:b/>
          <w:color w:val="16233D"/>
          <w:sz w:val="26"/>
        </w:rPr>
        <w:t>CONSENT, LEGAL BASIS &amp; RESIDENCY</w:t>
      </w:r>
    </w:p>
    <w:p>
      <w:pPr>
        <w:spacing w:after="100" w:line="252" w:lineRule="auto"/>
      </w:pPr>
      <w:r>
        <w:rPr>
          <w:rFonts w:ascii="Calibri" w:hAnsi="Calibri"/>
          <w:i/>
          <w:color w:val="898781"/>
          <w:sz w:val="17"/>
        </w:rPr>
        <w:t>▸ Object class 8 of 10. Owned by the DPO / legal counterpart, not by the analyst — the analyst records the answer and who gave it.</w:t>
      </w:r>
    </w:p>
    <w:p>
      <w:pPr>
        <w:keepNext/>
        <w:spacing w:before="220" w:after="80"/>
      </w:pPr>
      <w:r>
        <w:rPr>
          <w:rFonts w:ascii="Calibri" w:hAnsi="Calibri"/>
          <w:b/>
          <w:color w:val="16233D"/>
          <w:sz w:val="21"/>
        </w:rPr>
        <w:t>9.1  Consent model</w:t>
      </w:r>
      <w:r>
        <w:rPr>
          <w:rFonts w:ascii="Calibri" w:hAnsi="Calibri"/>
          <w:i/>
          <w:color w:val="898781"/>
          <w:sz w:val="17"/>
        </w:rPr>
        <w:t xml:space="preserve">   MANDATORY</w:t>
      </w:r>
    </w:p>
    <w:tbl>
      <w:tblPr>
        <w:tblW w:type="auto" w:w="0"/>
        <w:jc w:val="left"/>
        <w:tblLayout w:type="fixed"/>
        <w:tblLook w:firstColumn="1" w:firstRow="1" w:lastColumn="0" w:lastRow="0" w:noHBand="0" w:noVBand="1" w:val="04A0"/>
      </w:tblPr>
      <w:tblGrid>
        <w:gridCol w:w="4560"/>
        <w:gridCol w:w="4560"/>
        <w:gridCol w:w="4560"/>
      </w:tblGrid>
      <w:tr>
        <w:tc>
          <w:tcPr>
            <w:tcW w:type="dxa" w:w="466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Question</w:t>
            </w:r>
          </w:p>
        </w:tc>
        <w:tc>
          <w:tcPr>
            <w:tcW w:type="dxa" w:w="528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Answer</w:t>
            </w:r>
          </w:p>
        </w:tc>
        <w:tc>
          <w:tcPr>
            <w:tcW w:type="dxa" w:w="373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Source / owner</w:t>
            </w:r>
          </w:p>
        </w:tc>
      </w:tr>
      <w:tr>
        <w:tc>
          <w:tcPr>
            <w:tcW w:type="dxa" w:w="466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Consent source system for this market</w:t>
            </w:r>
          </w:p>
        </w:tc>
        <w:tc>
          <w:tcPr>
            <w:tcW w:type="dxa" w:w="528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373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466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Legal basis per processing purpose</w:t>
            </w:r>
          </w:p>
        </w:tc>
        <w:tc>
          <w:tcPr>
            <w:tcW w:type="dxa" w:w="528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373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«DPO»</w:t>
            </w:r>
          </w:p>
        </w:tc>
      </w:tr>
      <w:tr>
        <w:tc>
          <w:tcPr>
            <w:tcW w:type="dxa" w:w="466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Consent API in use?</w:t>
            </w:r>
          </w:p>
        </w:tc>
        <w:tc>
          <w:tcPr>
            <w:tcW w:type="dxa" w:w="528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«Yes / No»</w:t>
            </w:r>
          </w:p>
        </w:tc>
        <w:tc>
          <w:tcPr>
            <w:tcW w:type="dxa" w:w="373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466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Consent attributes ingested into DC?</w:t>
            </w:r>
          </w:p>
        </w:tc>
        <w:tc>
          <w:tcPr>
            <w:tcW w:type="dxa" w:w="528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373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466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Suppression / opt-out handling</w:t>
            </w:r>
          </w:p>
        </w:tc>
        <w:tc>
          <w:tcPr>
            <w:tcW w:type="dxa" w:w="528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373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466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Market-specific privacy flow (e.g. Germany)</w:t>
            </w:r>
          </w:p>
        </w:tc>
        <w:tc>
          <w:tcPr>
            <w:tcW w:type="dxa" w:w="528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373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«DPO»</w:t>
            </w:r>
          </w:p>
        </w:tc>
      </w:tr>
      <w:tr>
        <w:tc>
          <w:tcPr>
            <w:tcW w:type="dxa" w:w="466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Data-deletion / retention requirement</w:t>
            </w:r>
          </w:p>
        </w:tc>
        <w:tc>
          <w:tcPr>
            <w:tcW w:type="dxa" w:w="528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373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bl>
    <w:p>
      <w:pPr>
        <w:keepNext/>
        <w:spacing w:before="220" w:after="80"/>
      </w:pPr>
      <w:r>
        <w:rPr>
          <w:rFonts w:ascii="Calibri" w:hAnsi="Calibri"/>
          <w:b/>
          <w:color w:val="16233D"/>
          <w:sz w:val="21"/>
        </w:rPr>
        <w:t>9.2  Residency &amp; cross-border constraints</w:t>
      </w:r>
    </w:p>
    <w:p>
      <w:pPr>
        <w:spacing w:after="100" w:line="252" w:lineRule="auto"/>
      </w:pPr>
      <w:r>
        <w:rPr>
          <w:rFonts w:ascii="Calibri" w:hAnsi="Calibri"/>
          <w:i/>
          <w:color w:val="898781"/>
          <w:sz w:val="17"/>
        </w:rPr>
        <w:t>▸ Relevant to whether this data space can sit in the EU-anchored Home Org, and to the regional-personalisation-DC question (D15/D16). Note the AWS region constraint if one exists.</w:t>
      </w:r>
    </w:p>
    <w:tbl>
      <w:tblPr>
        <w:tblW w:type="auto" w:w="0"/>
        <w:jc w:val="left"/>
        <w:tblLayout w:type="fixed"/>
        <w:tblLook w:firstColumn="1" w:firstRow="1" w:lastColumn="0" w:lastRow="0" w:noHBand="0" w:noVBand="1" w:val="04A0"/>
      </w:tblPr>
      <w:tblGrid>
        <w:gridCol w:w="3420"/>
        <w:gridCol w:w="3420"/>
        <w:gridCol w:w="3420"/>
        <w:gridCol w:w="3420"/>
      </w:tblGrid>
      <w:tr>
        <w:tc>
          <w:tcPr>
            <w:tcW w:type="dxa" w:w="370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Constraint</w:t>
            </w:r>
          </w:p>
        </w:tc>
        <w:tc>
          <w:tcPr>
            <w:tcW w:type="dxa" w:w="128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Applies?</w:t>
            </w:r>
          </w:p>
        </w:tc>
        <w:tc>
          <w:tcPr>
            <w:tcW w:type="dxa" w:w="427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Detail</w:t>
            </w:r>
          </w:p>
        </w:tc>
        <w:tc>
          <w:tcPr>
            <w:tcW w:type="dxa" w:w="441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Consequence for DC1</w:t>
            </w:r>
          </w:p>
        </w:tc>
      </w:tr>
      <w:tr>
        <w:tc>
          <w:tcPr>
            <w:tcW w:type="dxa" w:w="37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Data must remain in region</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«Y/N»</w:t>
            </w:r>
          </w:p>
        </w:tc>
        <w:tc>
          <w:tcPr>
            <w:tcW w:type="dxa" w:w="427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441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370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Cross-market unified profile permitted</w:t>
            </w:r>
          </w:p>
        </w:tc>
        <w:tc>
          <w:tcPr>
            <w:tcW w:type="dxa" w:w="12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«Y/N»</w:t>
            </w:r>
          </w:p>
        </w:tc>
        <w:tc>
          <w:tcPr>
            <w:tcW w:type="dxa" w:w="427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441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«DPO sign-off due 26 Oct 26»</w:t>
            </w:r>
          </w:p>
        </w:tc>
      </w:tr>
      <w:tr>
        <w:tc>
          <w:tcPr>
            <w:tcW w:type="dxa" w:w="370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Restriction on specific attributes leaving the market</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«Y/N»</w:t>
            </w:r>
          </w:p>
        </w:tc>
        <w:tc>
          <w:tcPr>
            <w:tcW w:type="dxa" w:w="427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441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bl>
    <w:p>
      <w:pPr>
        <w:keepNext/>
        <w:spacing w:before="320" w:after="140"/>
        <w:pBdr>
          <w:bottom w:val="single" w:sz="12" w:space="2" w:color="16233D"/>
        </w:pBdr>
      </w:pPr>
      <w:r>
        <w:rPr>
          <w:rFonts w:ascii="Calibri" w:hAnsi="Calibri"/>
          <w:b/>
          <w:color w:val="C89B3C"/>
          <w:sz w:val="30"/>
        </w:rPr>
        <w:t xml:space="preserve">10    </w:t>
      </w:r>
      <w:r>
        <w:rPr>
          <w:rFonts w:ascii="Calibri" w:hAnsi="Calibri"/>
          <w:b/>
          <w:color w:val="16233D"/>
          <w:sz w:val="26"/>
        </w:rPr>
        <w:t>DOWNSTREAM CONSUMERS &amp; DEPENDENCIES</w:t>
      </w:r>
    </w:p>
    <w:p>
      <w:pPr>
        <w:spacing w:after="100" w:line="252" w:lineRule="auto"/>
      </w:pPr>
      <w:r>
        <w:rPr>
          <w:rFonts w:ascii="Calibri" w:hAnsi="Calibri"/>
          <w:i/>
          <w:color w:val="898781"/>
          <w:sz w:val="17"/>
        </w:rPr>
        <w:t>▸ Object class 9 of 10. The section that prevents the post-cutover surprise. Anything that reads from this data space and is not listed here will break silently. Technical read paths (SQL, query API, search indexes, agent grounding) are inventoried in §12 — this section is the business-level consumer list, and every §12 row must have a consumer named here.</w:t>
      </w:r>
    </w:p>
    <w:p>
      <w:pPr>
        <w:keepNext/>
        <w:spacing w:before="220" w:after="80"/>
      </w:pPr>
      <w:r>
        <w:rPr>
          <w:rFonts w:ascii="Calibri" w:hAnsi="Calibri"/>
          <w:b/>
          <w:color w:val="16233D"/>
          <w:sz w:val="21"/>
        </w:rPr>
        <w:t>10.1  Consumer inventory</w:t>
      </w:r>
      <w:r>
        <w:rPr>
          <w:rFonts w:ascii="Calibri" w:hAnsi="Calibri"/>
          <w:i/>
          <w:color w:val="898781"/>
          <w:sz w:val="17"/>
        </w:rPr>
        <w:t xml:space="preserve">   MANDATORY</w:t>
      </w:r>
    </w:p>
    <w:tbl>
      <w:tblPr>
        <w:tblW w:type="auto" w:w="0"/>
        <w:jc w:val="left"/>
        <w:tblLayout w:type="fixed"/>
        <w:tblLook w:firstColumn="1" w:firstRow="1" w:lastColumn="0" w:lastRow="0" w:noHBand="0" w:noVBand="1" w:val="04A0"/>
      </w:tblPr>
      <w:tblGrid>
        <w:gridCol w:w="1954"/>
        <w:gridCol w:w="1954"/>
        <w:gridCol w:w="1954"/>
        <w:gridCol w:w="1954"/>
        <w:gridCol w:w="1954"/>
        <w:gridCol w:w="1954"/>
        <w:gridCol w:w="1954"/>
      </w:tblGrid>
      <w:tr>
        <w:tc>
          <w:tcPr>
            <w:tcW w:type="dxa" w:w="181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Consumer</w:t>
            </w:r>
          </w:p>
        </w:tc>
        <w:tc>
          <w:tcPr>
            <w:tcW w:type="dxa" w:w="223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Type</w:t>
            </w:r>
          </w:p>
        </w:tc>
        <w:tc>
          <w:tcPr>
            <w:tcW w:type="dxa" w:w="279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What it reads (DMO / CI / segment API name)</w:t>
            </w:r>
          </w:p>
        </w:tc>
        <w:tc>
          <w:tcPr>
            <w:tcW w:type="dxa" w:w="181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Read mechanism</w:t>
            </w:r>
          </w:p>
        </w:tc>
        <w:tc>
          <w:tcPr>
            <w:tcW w:type="dxa" w:w="125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Owner</w:t>
            </w:r>
          </w:p>
        </w:tc>
        <w:tc>
          <w:tcPr>
            <w:tcW w:type="dxa" w:w="181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Impact if it stops</w:t>
            </w:r>
          </w:p>
        </w:tc>
        <w:tc>
          <w:tcPr>
            <w:tcW w:type="dxa" w:w="195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Cutover action</w:t>
            </w:r>
          </w:p>
        </w:tc>
      </w:tr>
      <w:tr>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23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«MC journey»</w:t>
            </w:r>
          </w:p>
        </w:tc>
        <w:tc>
          <w:tcPr>
            <w:tcW w:type="dxa" w:w="27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«activation»</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23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«Report / dashboard»</w:t>
            </w:r>
          </w:p>
        </w:tc>
        <w:tc>
          <w:tcPr>
            <w:tcW w:type="dxa" w:w="27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«live query / extract»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23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«NBx / Affinity / Propensity model»</w:t>
            </w:r>
          </w:p>
        </w:tc>
        <w:tc>
          <w:tcPr>
            <w:tcW w:type="dxa" w:w="27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23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«Apex / Connect API / Query API»</w:t>
            </w:r>
          </w:p>
        </w:tc>
        <w:tc>
          <w:tcPr>
            <w:tcW w:type="dxa" w:w="27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«SQL / API»</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23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«Agentforce / Einstein grounding»</w:t>
            </w:r>
          </w:p>
        </w:tc>
        <w:tc>
          <w:tcPr>
            <w:tcW w:type="dxa" w:w="27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«search index / graph»</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23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«Personalisation (MCP / SP)»</w:t>
            </w:r>
          </w:p>
        </w:tc>
        <w:tc>
          <w:tcPr>
            <w:tcW w:type="dxa" w:w="27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223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«Tableau / CRM Analytics»</w:t>
            </w:r>
          </w:p>
        </w:tc>
        <w:tc>
          <w:tcPr>
            <w:tcW w:type="dxa" w:w="27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«live connection»</w:t>
            </w:r>
          </w:p>
        </w:tc>
        <w:tc>
          <w:tcPr>
            <w:tcW w:type="dxa" w:w="125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95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223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«External / other»</w:t>
            </w:r>
          </w:p>
        </w:tc>
        <w:tc>
          <w:tcPr>
            <w:tcW w:type="dxa" w:w="27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25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8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95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bl>
    <w:p>
      <w:pPr>
        <w:spacing w:after="100" w:line="252" w:lineRule="auto"/>
      </w:pPr>
      <w:r>
        <w:rPr>
          <w:rFonts w:ascii="Calibri" w:hAnsi="Calibri"/>
          <w:i/>
          <w:color w:val="898781"/>
          <w:sz w:val="17"/>
        </w:rPr>
        <w:t>▸ Read mechanism matters as much as the consumer: an activation is re-created at cutover, a live SQL connection needs its endpoint and credentials re-pointed, and a search index has to be rebuilt and re-embedded before the consumer works at all. Name the mechanism so §12.4 can sequence it.</w:t>
      </w:r>
    </w:p>
    <w:p>
      <w:pPr>
        <w:keepNext/>
        <w:spacing w:before="220" w:after="80"/>
      </w:pPr>
      <w:r>
        <w:rPr>
          <w:rFonts w:ascii="Calibri" w:hAnsi="Calibri"/>
          <w:b/>
          <w:color w:val="16233D"/>
          <w:sz w:val="21"/>
        </w:rPr>
        <w:t>10.2  Real-time personalisation dependency</w:t>
      </w:r>
    </w:p>
    <w:p>
      <w:pPr>
        <w:spacing w:after="100" w:line="252" w:lineRule="auto"/>
      </w:pPr>
      <w:r>
        <w:rPr>
          <w:rFonts w:ascii="Calibri" w:hAnsi="Calibri"/>
          <w:i/>
          <w:color w:val="898781"/>
          <w:sz w:val="17"/>
        </w:rPr>
        <w:t>▸ Companion orgs cannot access the Personalization App of the Home Org — so if this data space serves real-time website personalisation in a distant region, a companion connection will not serve it and a dedicated regional personalisation DC may be required (decisions D15/D16/D17). Salesforce Edge helps static/cacheable content only.</w:t>
      </w:r>
    </w:p>
    <w:tbl>
      <w:tblPr>
        <w:tblW w:type="auto" w:w="0"/>
        <w:jc w:val="left"/>
        <w:tblLayout w:type="fixed"/>
        <w:tblLook w:firstColumn="1" w:firstRow="1" w:lastColumn="0" w:lastRow="0" w:noHBand="0" w:noVBand="1" w:val="04A0"/>
      </w:tblPr>
      <w:tblGrid>
        <w:gridCol w:w="6840"/>
        <w:gridCol w:w="6840"/>
      </w:tblGrid>
      <w:tr>
        <w:tc>
          <w:tcPr>
            <w:tcW w:type="dxa" w:w="598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Question</w:t>
            </w:r>
          </w:p>
        </w:tc>
        <w:tc>
          <w:tcPr>
            <w:tcW w:type="dxa" w:w="769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Answer</w:t>
            </w:r>
          </w:p>
        </w:tc>
      </w:tr>
      <w:tr>
        <w:tc>
          <w:tcPr>
            <w:tcW w:type="dxa" w:w="598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Does this data space serve real-time website / app personalisation?</w:t>
            </w:r>
          </w:p>
        </w:tc>
        <w:tc>
          <w:tcPr>
            <w:tcW w:type="dxa" w:w="76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«Yes / No»</w:t>
            </w:r>
          </w:p>
        </w:tc>
      </w:tr>
      <w:tr>
        <w:tc>
          <w:tcPr>
            <w:tcW w:type="dxa" w:w="598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Current activation point</w:t>
            </w:r>
          </w:p>
        </w:tc>
        <w:tc>
          <w:tcPr>
            <w:tcW w:type="dxa" w:w="76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«MCP / Salesforce Personalization / none»</w:t>
            </w:r>
          </w:p>
        </w:tc>
      </w:tr>
      <w:tr>
        <w:tc>
          <w:tcPr>
            <w:tcW w:type="dxa" w:w="598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Region and observed latency</w:t>
            </w:r>
          </w:p>
        </w:tc>
        <w:tc>
          <w:tcPr>
            <w:tcW w:type="dxa" w:w="76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598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Would a dedicated regional personalisation DC be needed?</w:t>
            </w:r>
          </w:p>
        </w:tc>
        <w:tc>
          <w:tcPr>
            <w:tcW w:type="dxa" w:w="76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«Yes / No / TBD — D15»</w:t>
            </w:r>
          </w:p>
        </w:tc>
      </w:tr>
    </w:tbl>
    <w:p>
      <w:pPr>
        <w:keepNext/>
        <w:spacing w:before="320" w:after="140"/>
        <w:pBdr>
          <w:bottom w:val="single" w:sz="12" w:space="2" w:color="16233D"/>
        </w:pBdr>
      </w:pPr>
      <w:r>
        <w:rPr>
          <w:rFonts w:ascii="Calibri" w:hAnsi="Calibri"/>
          <w:b/>
          <w:color w:val="C89B3C"/>
          <w:sz w:val="30"/>
        </w:rPr>
        <w:t xml:space="preserve">11    </w:t>
      </w:r>
      <w:r>
        <w:rPr>
          <w:rFonts w:ascii="Calibri" w:hAnsi="Calibri"/>
          <w:b/>
          <w:color w:val="16233D"/>
          <w:sz w:val="26"/>
        </w:rPr>
        <w:t>RETRIEVE, AI CONSUMERS &amp; DATA KITS</w:t>
      </w:r>
    </w:p>
    <w:p>
      <w:pPr>
        <w:spacing w:after="100" w:line="252" w:lineRule="auto"/>
      </w:pPr>
      <w:r>
        <w:rPr>
          <w:rFonts w:ascii="Calibri" w:hAnsi="Calibri"/>
          <w:i/>
          <w:color w:val="898781"/>
          <w:sz w:val="17"/>
        </w:rPr>
        <w:t>▸ Object class 10 of 10 · phase RETRIEVE, plus the packaging decision for the whole record. This section did not exist in v1.0 and is the most commonly missed part of a Data Cloud migration: everything above describes data going IN and OUT to destinations, while this describes systems that READ the data space directly. A search index or an agent grounding configuration is not carried by any activation and will not appear in any segment inventory — if it is not recorded here, it will be discovered by an agent that stops answering.</w:t>
      </w:r>
    </w:p>
    <w:p>
      <w:pPr>
        <w:keepNext/>
        <w:spacing w:before="220" w:after="80"/>
      </w:pPr>
      <w:r>
        <w:rPr>
          <w:rFonts w:ascii="Calibri" w:hAnsi="Calibri"/>
          <w:b/>
          <w:color w:val="16233D"/>
          <w:sz w:val="21"/>
        </w:rPr>
        <w:t>11.1  Does this data space serve any direct-read consumer?</w:t>
      </w:r>
      <w:r>
        <w:rPr>
          <w:rFonts w:ascii="Calibri" w:hAnsi="Calibri"/>
          <w:i/>
          <w:color w:val="898781"/>
          <w:sz w:val="17"/>
        </w:rPr>
        <w:t xml:space="preserve">   MANDATORY</w:t>
      </w:r>
    </w:p>
    <w:p>
      <w:pPr>
        <w:spacing w:after="100" w:line="252" w:lineRule="auto"/>
      </w:pPr>
      <w:r>
        <w:rPr>
          <w:rFonts w:ascii="Calibri" w:hAnsi="Calibri"/>
          <w:i/>
          <w:color w:val="898781"/>
          <w:sz w:val="17"/>
        </w:rPr>
        <w:t>▸ Answer all six. Six ‘No’ answers is a legitimate and common outcome — but it must be an answer, not a blank, because blank reads as ‘not yet analysed’ and this is precisely the class of dependency that hides.</w:t>
      </w:r>
    </w:p>
    <w:tbl>
      <w:tblPr>
        <w:tblW w:type="auto" w:w="0"/>
        <w:jc w:val="left"/>
        <w:tblLayout w:type="fixed"/>
        <w:tblLook w:firstColumn="1" w:firstRow="1" w:lastColumn="0" w:lastRow="0" w:noHBand="0" w:noVBand="1" w:val="04A0"/>
      </w:tblPr>
      <w:tblGrid>
        <w:gridCol w:w="4560"/>
        <w:gridCol w:w="4560"/>
        <w:gridCol w:w="4560"/>
      </w:tblGrid>
      <w:tr>
        <w:tc>
          <w:tcPr>
            <w:tcW w:type="dxa" w:w="876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Question</w:t>
            </w:r>
          </w:p>
        </w:tc>
        <w:tc>
          <w:tcPr>
            <w:tcW w:type="dxa" w:w="228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Answer</w:t>
            </w:r>
          </w:p>
        </w:tc>
        <w:tc>
          <w:tcPr>
            <w:tcW w:type="dxa" w:w="263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If yes → detail in</w:t>
            </w:r>
          </w:p>
        </w:tc>
      </w:tr>
      <w:tr>
        <w:tc>
          <w:tcPr>
            <w:tcW w:type="dxa" w:w="876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Is Data Cloud SQL queried directly (Query API, Connect API, notebooks)?</w:t>
            </w:r>
          </w:p>
        </w:tc>
        <w:tc>
          <w:tcPr>
            <w:tcW w:type="dxa" w:w="228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«Yes / No»</w:t>
            </w:r>
          </w:p>
        </w:tc>
        <w:tc>
          <w:tcPr>
            <w:tcW w:type="dxa" w:w="263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§11.2</w:t>
            </w:r>
          </w:p>
        </w:tc>
      </w:tr>
      <w:tr>
        <w:tc>
          <w:tcPr>
            <w:tcW w:type="dxa" w:w="876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Are there saved or scheduled async queries?</w:t>
            </w:r>
          </w:p>
        </w:tc>
        <w:tc>
          <w:tcPr>
            <w:tcW w:type="dxa" w:w="228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«Yes / No»</w:t>
            </w:r>
          </w:p>
        </w:tc>
        <w:tc>
          <w:tcPr>
            <w:tcW w:type="dxa" w:w="263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§11.2</w:t>
            </w:r>
          </w:p>
        </w:tc>
      </w:tr>
      <w:tr>
        <w:tc>
          <w:tcPr>
            <w:tcW w:type="dxa" w:w="876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Are there search indexes on any DMO in this data space?</w:t>
            </w:r>
          </w:p>
        </w:tc>
        <w:tc>
          <w:tcPr>
            <w:tcW w:type="dxa" w:w="228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«Yes / No»</w:t>
            </w:r>
          </w:p>
        </w:tc>
        <w:tc>
          <w:tcPr>
            <w:tcW w:type="dxa" w:w="263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§11.3</w:t>
            </w:r>
          </w:p>
        </w:tc>
      </w:tr>
      <w:tr>
        <w:tc>
          <w:tcPr>
            <w:tcW w:type="dxa" w:w="876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Is vector / semantic search in use (unstructured or hybrid)?</w:t>
            </w:r>
          </w:p>
        </w:tc>
        <w:tc>
          <w:tcPr>
            <w:tcW w:type="dxa" w:w="228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«Yes / No»</w:t>
            </w:r>
          </w:p>
        </w:tc>
        <w:tc>
          <w:tcPr>
            <w:tcW w:type="dxa" w:w="263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§11.3</w:t>
            </w:r>
          </w:p>
        </w:tc>
      </w:tr>
      <w:tr>
        <w:tc>
          <w:tcPr>
            <w:tcW w:type="dxa" w:w="876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Does an Agentforce agent or Einstein model ground on this data space?</w:t>
            </w:r>
          </w:p>
        </w:tc>
        <w:tc>
          <w:tcPr>
            <w:tcW w:type="dxa" w:w="228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«Yes / No»</w:t>
            </w:r>
          </w:p>
        </w:tc>
        <w:tc>
          <w:tcPr>
            <w:tcW w:type="dxa" w:w="263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§11.3</w:t>
            </w:r>
          </w:p>
        </w:tc>
      </w:tr>
      <w:tr>
        <w:tc>
          <w:tcPr>
            <w:tcW w:type="dxa" w:w="876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Is there a live BI connection (Tableau, CRM Analytics, external BI)?</w:t>
            </w:r>
          </w:p>
        </w:tc>
        <w:tc>
          <w:tcPr>
            <w:tcW w:type="dxa" w:w="228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«Yes / No»</w:t>
            </w:r>
          </w:p>
        </w:tc>
        <w:tc>
          <w:tcPr>
            <w:tcW w:type="dxa" w:w="263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§11.2</w:t>
            </w:r>
          </w:p>
        </w:tc>
      </w:tr>
    </w:tbl>
    <w:p>
      <w:pPr>
        <w:keepNext/>
        <w:spacing w:before="220" w:after="80"/>
      </w:pPr>
      <w:r>
        <w:rPr>
          <w:rFonts w:ascii="Calibri" w:hAnsi="Calibri"/>
          <w:b/>
          <w:color w:val="16233D"/>
          <w:sz w:val="21"/>
        </w:rPr>
        <w:t>11.2  Query &amp; SQL consumers</w:t>
      </w:r>
    </w:p>
    <w:p>
      <w:pPr>
        <w:spacing w:after="100" w:line="252" w:lineRule="auto"/>
      </w:pPr>
      <w:r>
        <w:rPr>
          <w:rFonts w:ascii="Calibri" w:hAnsi="Calibri"/>
          <w:i/>
          <w:color w:val="898781"/>
          <w:sz w:val="17"/>
        </w:rPr>
        <w:t>▸ One row per distinct read path. Data Cloud SQL is not CRM SOQL — a query written against the legacy space will not necessarily run unchanged against DC1, because table names carry the DLO/DMO API name and any data space filter (§0.2) is applied silently underneath. Every query listed here needs re-testing, not just re-pointing.</w:t>
      </w:r>
    </w:p>
    <w:tbl>
      <w:tblPr>
        <w:tblW w:type="auto" w:w="0"/>
        <w:jc w:val="left"/>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97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Consumer / caller</w:t>
            </w:r>
          </w:p>
        </w:tc>
        <w:tc>
          <w:tcPr>
            <w:tcW w:type="dxa" w:w="141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Query type</w:t>
            </w:r>
          </w:p>
        </w:tc>
        <w:tc>
          <w:tcPr>
            <w:tcW w:type="dxa" w:w="268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Tables read (API names)</w:t>
            </w:r>
          </w:p>
        </w:tc>
        <w:tc>
          <w:tcPr>
            <w:tcW w:type="dxa" w:w="141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Sync or async</w:t>
            </w:r>
          </w:p>
        </w:tc>
        <w:tc>
          <w:tcPr>
            <w:tcW w:type="dxa" w:w="211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Called by (system / owner)</w:t>
            </w:r>
          </w:p>
        </w:tc>
        <w:tc>
          <w:tcPr>
            <w:tcW w:type="dxa" w:w="126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Frequency</w:t>
            </w:r>
          </w:p>
        </w:tc>
        <w:tc>
          <w:tcPr>
            <w:tcW w:type="dxa" w:w="169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Needs rewrite for DC1?</w:t>
            </w:r>
          </w:p>
        </w:tc>
        <w:tc>
          <w:tcPr>
            <w:tcW w:type="dxa" w:w="112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Retested?</w:t>
            </w:r>
          </w:p>
        </w:tc>
      </w:tr>
      <w:tr>
        <w:tc>
          <w:tcPr>
            <w:tcW w:type="dxa" w:w="19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14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68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4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1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26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6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1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9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14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68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4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1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26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6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1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9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14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68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4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1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26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6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1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9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14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68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4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1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26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6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1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197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w:t>
            </w:r>
          </w:p>
        </w:tc>
        <w:tc>
          <w:tcPr>
            <w:tcW w:type="dxa" w:w="14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68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4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11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26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6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1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197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w:t>
            </w:r>
          </w:p>
        </w:tc>
        <w:tc>
          <w:tcPr>
            <w:tcW w:type="dxa" w:w="14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68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4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11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26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6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1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bl>
    <w:p>
      <w:pPr>
        <w:spacing w:after="100" w:line="252" w:lineRule="auto"/>
      </w:pPr>
      <w:r>
        <w:rPr>
          <w:rFonts w:ascii="Calibri" w:hAnsi="Calibri"/>
          <w:i/>
          <w:color w:val="898781"/>
          <w:sz w:val="17"/>
        </w:rPr>
        <w:t>▸ Query type: ad-hoc SQL · saved query · async / bulk query · Query API · Connect API · live BI connection. Async is the default assumption for anything large: a command that returns immediately has usually only submitted the job, so record the job's real completion time rather than the call's response time when sizing the cutover window.</w:t>
      </w:r>
    </w:p>
    <w:p>
      <w:pPr>
        <w:keepNext/>
        <w:spacing w:before="220" w:after="80"/>
      </w:pPr>
      <w:r>
        <w:rPr>
          <w:rFonts w:ascii="Calibri" w:hAnsi="Calibri"/>
          <w:b/>
          <w:color w:val="16233D"/>
          <w:sz w:val="21"/>
        </w:rPr>
        <w:t>11.3  Search indexes, vector search &amp; AI grounding</w:t>
      </w:r>
    </w:p>
    <w:p>
      <w:pPr>
        <w:spacing w:after="100" w:line="252" w:lineRule="auto"/>
      </w:pPr>
      <w:r>
        <w:rPr>
          <w:rFonts w:ascii="Calibri" w:hAnsi="Calibri"/>
          <w:i/>
          <w:color w:val="898781"/>
          <w:sz w:val="17"/>
        </w:rPr>
        <w:t>▸ A search index is a deployable object with its own definition, source, field list and embedding configuration — and it must be rebuilt AND re-indexed in DC1 before any consumer works. Re-embedding is a chargeable, time-consuming operation on large corpora, so its duration belongs in the cutover plan (§12.4) and not in a footnote. Deliverable: one search-index definition per migrated row.</w:t>
      </w:r>
    </w:p>
    <w:tbl>
      <w:tblPr>
        <w:tblW w:type="auto" w:w="0"/>
        <w:jc w:val="left"/>
        <w:tblLayout w:type="fixed"/>
        <w:tblLook w:firstColumn="1" w:firstRow="1" w:lastColumn="0" w:lastRow="0" w:noHBand="0" w:noVBand="1" w:val="04A0"/>
      </w:tblPr>
      <w:tblGrid>
        <w:gridCol w:w="1368"/>
        <w:gridCol w:w="1368"/>
        <w:gridCol w:w="1368"/>
        <w:gridCol w:w="1368"/>
        <w:gridCol w:w="1368"/>
        <w:gridCol w:w="1368"/>
        <w:gridCol w:w="1368"/>
        <w:gridCol w:w="1368"/>
        <w:gridCol w:w="1368"/>
        <w:gridCol w:w="1368"/>
      </w:tblGrid>
      <w:tr>
        <w:tc>
          <w:tcPr>
            <w:tcW w:type="dxa" w:w="127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Index name</w:t>
            </w:r>
          </w:p>
        </w:tc>
        <w:tc>
          <w:tcPr>
            <w:tcW w:type="dxa" w:w="127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API name</w:t>
            </w:r>
          </w:p>
        </w:tc>
        <w:tc>
          <w:tcPr>
            <w:tcW w:type="dxa" w:w="115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Index type</w:t>
            </w:r>
          </w:p>
        </w:tc>
        <w:tc>
          <w:tcPr>
            <w:tcW w:type="dxa" w:w="179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Source DMO / DLO (API name)</w:t>
            </w:r>
          </w:p>
        </w:tc>
        <w:tc>
          <w:tcPr>
            <w:tcW w:type="dxa" w:w="179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Indexed / embedded fields</w:t>
            </w:r>
          </w:p>
        </w:tc>
        <w:tc>
          <w:tcPr>
            <w:tcW w:type="dxa" w:w="127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Embedding model</w:t>
            </w:r>
          </w:p>
        </w:tc>
        <w:tc>
          <w:tcPr>
            <w:tcW w:type="dxa" w:w="204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Consumer (agent, app, §10.1 row)</w:t>
            </w:r>
          </w:p>
        </w:tc>
        <w:tc>
          <w:tcPr>
            <w:tcW w:type="dxa" w:w="1279"/>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Re-index duration (h)</w:t>
            </w:r>
          </w:p>
        </w:tc>
        <w:tc>
          <w:tcPr>
            <w:tcW w:type="dxa" w:w="76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Migrate?</w:t>
            </w:r>
          </w:p>
        </w:tc>
        <w:tc>
          <w:tcPr>
            <w:tcW w:type="dxa" w:w="102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Rebuild path</w:t>
            </w:r>
          </w:p>
        </w:tc>
      </w:tr>
      <w:tr>
        <w:tc>
          <w:tcPr>
            <w:tcW w:type="dxa" w:w="127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27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5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7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04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7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2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27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27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5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7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04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7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7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2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27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27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5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7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04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7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2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127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w:t>
            </w:r>
          </w:p>
        </w:tc>
        <w:tc>
          <w:tcPr>
            <w:tcW w:type="dxa" w:w="127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15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7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7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04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79"/>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7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02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127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w:t>
            </w:r>
          </w:p>
        </w:tc>
        <w:tc>
          <w:tcPr>
            <w:tcW w:type="dxa" w:w="127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15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7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7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04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79"/>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7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02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bl>
    <w:p>
      <w:pPr>
        <w:spacing w:after="100" w:line="252" w:lineRule="auto"/>
      </w:pPr>
      <w:r>
        <w:rPr>
          <w:rFonts w:ascii="Calibri" w:hAnsi="Calibri"/>
          <w:i/>
          <w:color w:val="898781"/>
          <w:sz w:val="17"/>
        </w:rPr>
        <w:t>▸ Index type: keyword / search index · vector (semantic) · hybrid. Where the source is unstructured content (documents, SharePoint, knowledge), note in the rebuild path that unstructured setup is frequently UI-only — the CLI and UI paths for unstructured objects are not always equivalent, so assume MANUAL UI unless a CLI path has been proven in this org.</w:t>
      </w:r>
    </w:p>
    <w:p>
      <w:pPr>
        <w:spacing w:after="60"/>
      </w:pPr>
    </w:p>
    <w:tbl>
      <w:tblPr>
        <w:tblW w:type="auto" w:w="0"/>
        <w:jc w:val="left"/>
        <w:tblLayout w:type="fixed"/>
        <w:tblLook w:firstColumn="1" w:firstRow="1" w:lastColumn="0" w:lastRow="0" w:noHBand="0" w:noVBand="1" w:val="04A0"/>
      </w:tblPr>
      <w:tblGrid>
        <w:gridCol w:w="6840"/>
        <w:gridCol w:w="6840"/>
      </w:tblGrid>
      <w:tr>
        <w:tc>
          <w:tcPr>
            <w:tcW w:type="dxa" w:w="627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Grounding question</w:t>
            </w:r>
          </w:p>
        </w:tc>
        <w:tc>
          <w:tcPr>
            <w:tcW w:type="dxa" w:w="741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Answer</w:t>
            </w:r>
          </w:p>
        </w:tc>
      </w:tr>
      <w:tr>
        <w:tc>
          <w:tcPr>
            <w:tcW w:type="dxa" w:w="627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Which agents / prompt templates ground on this data space?</w:t>
            </w:r>
          </w:p>
        </w:tc>
        <w:tc>
          <w:tcPr>
            <w:tcW w:type="dxa" w:w="74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«names, or none»</w:t>
            </w:r>
          </w:p>
        </w:tc>
      </w:tr>
      <w:tr>
        <w:tc>
          <w:tcPr>
            <w:tcW w:type="dxa" w:w="627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Grounding mechanism</w:t>
            </w:r>
          </w:p>
        </w:tc>
        <w:tc>
          <w:tcPr>
            <w:tcW w:type="dxa" w:w="74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«data graph / search index / retriever / other»</w:t>
            </w:r>
          </w:p>
        </w:tc>
      </w:tr>
      <w:tr>
        <w:tc>
          <w:tcPr>
            <w:tcW w:type="dxa" w:w="627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Who owns the agent?</w:t>
            </w:r>
          </w:p>
        </w:tc>
        <w:tc>
          <w:tcPr>
            <w:tcW w:type="dxa" w:w="74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627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Blast radius if grounding breaks at cutover</w:t>
            </w:r>
          </w:p>
        </w:tc>
        <w:tc>
          <w:tcPr>
            <w:tcW w:type="dxa" w:w="74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627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Is the agent in scope for the same cutover window?</w:t>
            </w:r>
          </w:p>
        </w:tc>
        <w:tc>
          <w:tcPr>
            <w:tcW w:type="dxa" w:w="74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«Yes / No — if no, name the sequence»</w:t>
            </w:r>
          </w:p>
        </w:tc>
      </w:tr>
    </w:tbl>
    <w:p>
      <w:pPr>
        <w:keepNext/>
        <w:spacing w:before="220" w:after="80"/>
      </w:pPr>
      <w:r>
        <w:rPr>
          <w:rFonts w:ascii="Calibri" w:hAnsi="Calibri"/>
          <w:b/>
          <w:color w:val="16233D"/>
          <w:sz w:val="21"/>
        </w:rPr>
        <w:t>11.4  Data kit packaging</w:t>
      </w:r>
      <w:r>
        <w:rPr>
          <w:rFonts w:ascii="Calibri" w:hAnsi="Calibri"/>
          <w:i/>
          <w:color w:val="898781"/>
          <w:sz w:val="17"/>
        </w:rPr>
        <w:t xml:space="preserve">   MANDATORY</w:t>
      </w:r>
    </w:p>
    <w:p>
      <w:pPr>
        <w:spacing w:after="100" w:line="252" w:lineRule="auto"/>
      </w:pPr>
      <w:r>
        <w:rPr>
          <w:rFonts w:ascii="Calibri" w:hAnsi="Calibri"/>
          <w:i/>
          <w:color w:val="898781"/>
          <w:sz w:val="17"/>
        </w:rPr>
        <w:t>▸ The single biggest effort variable in a 28-space programme: which objects travel in a data kit and which are hand-built. A data kit packages a defined set of Data Cloud objects for repeatable deployment — where a kit covers an object, migration is deployment; where it does not, migration is manual rebuild plus manual QA. Every ‘not kit-supported’ row is effort that must appear in the §1.2 build estimate.</w:t>
      </w:r>
    </w:p>
    <w:tbl>
      <w:tblPr>
        <w:tblW w:type="auto" w:w="0"/>
        <w:jc w:val="left"/>
        <w:tblLayout w:type="fixed"/>
        <w:tblLook w:firstColumn="1" w:firstRow="1" w:lastColumn="0" w:lastRow="0" w:noHBand="0" w:noVBand="1" w:val="04A0"/>
      </w:tblPr>
      <w:tblGrid>
        <w:gridCol w:w="2280"/>
        <w:gridCol w:w="2280"/>
        <w:gridCol w:w="2280"/>
        <w:gridCol w:w="2280"/>
        <w:gridCol w:w="2280"/>
        <w:gridCol w:w="2280"/>
      </w:tblGrid>
      <w:tr>
        <w:tc>
          <w:tcPr>
            <w:tcW w:type="dxa" w:w="313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Object class</w:t>
            </w:r>
          </w:p>
        </w:tc>
        <w:tc>
          <w:tcPr>
            <w:tcW w:type="dxa" w:w="213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In the 28-space kit template?</w:t>
            </w:r>
          </w:p>
        </w:tc>
        <w:tc>
          <w:tcPr>
            <w:tcW w:type="dxa" w:w="156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Kit name</w:t>
            </w:r>
          </w:p>
        </w:tc>
        <w:tc>
          <w:tcPr>
            <w:tcW w:type="dxa" w:w="171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Objects covered (count)</w:t>
            </w:r>
          </w:p>
        </w:tc>
        <w:tc>
          <w:tcPr>
            <w:tcW w:type="dxa" w:w="342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Objects NOT covered — reason</w:t>
            </w:r>
          </w:p>
        </w:tc>
        <w:tc>
          <w:tcPr>
            <w:tcW w:type="dxa" w:w="171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Manual rebuild effort (PD)</w:t>
            </w:r>
          </w:p>
        </w:tc>
      </w:tr>
      <w:tr>
        <w:tc>
          <w:tcPr>
            <w:tcW w:type="dxa" w:w="313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Data streams &amp; connections</w:t>
            </w:r>
          </w:p>
        </w:tc>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«Y/N/partial»</w:t>
            </w:r>
          </w:p>
        </w:tc>
        <w:tc>
          <w:tcPr>
            <w:tcW w:type="dxa" w:w="15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313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DLOs</w:t>
            </w:r>
          </w:p>
        </w:tc>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313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DMOs, mappings, relationships</w:t>
            </w:r>
          </w:p>
        </w:tc>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313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Identity resolution ruleset</w:t>
            </w:r>
          </w:p>
        </w:tc>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313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Calculated insights</w:t>
            </w:r>
          </w:p>
        </w:tc>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313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Data graphs</w:t>
            </w:r>
          </w:p>
        </w:tc>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313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Segments</w:t>
            </w:r>
          </w:p>
        </w:tc>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313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Activations &amp; targets</w:t>
            </w:r>
          </w:p>
        </w:tc>
        <w:tc>
          <w:tcPr>
            <w:tcW w:type="dxa" w:w="213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5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313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Search indexes</w:t>
            </w:r>
          </w:p>
        </w:tc>
        <w:tc>
          <w:tcPr>
            <w:tcW w:type="dxa" w:w="213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5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171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bl>
    <w:p>
      <w:pPr>
        <w:spacing w:after="100" w:line="252" w:lineRule="auto"/>
      </w:pPr>
      <w:r>
        <w:rPr>
          <w:rFonts w:ascii="Calibri" w:hAnsi="Calibri"/>
          <w:i/>
          <w:color w:val="898781"/>
          <w:sz w:val="17"/>
        </w:rPr>
        <w:t>▸ Where an object class is ‘partial’, the split must be visible in that section's rebuild-path column — the counts here and the counts in §1.3 are the same numbers seen from two directions and must agree.</w:t>
      </w:r>
    </w:p>
    <w:p>
      <w:pPr>
        <w:keepNext/>
        <w:spacing w:before="320" w:after="140"/>
        <w:pBdr>
          <w:bottom w:val="single" w:sz="12" w:space="2" w:color="16233D"/>
        </w:pBdr>
      </w:pPr>
      <w:r>
        <w:rPr>
          <w:rFonts w:ascii="Calibri" w:hAnsi="Calibri"/>
          <w:b/>
          <w:color w:val="C89B3C"/>
          <w:sz w:val="30"/>
        </w:rPr>
        <w:t xml:space="preserve">12    </w:t>
      </w:r>
      <w:r>
        <w:rPr>
          <w:rFonts w:ascii="Calibri" w:hAnsi="Calibri"/>
          <w:b/>
          <w:color w:val="16233D"/>
          <w:sz w:val="26"/>
        </w:rPr>
        <w:t>DIVERGENCE, PARITY TESTS &amp; SIGN-OFF</w:t>
      </w:r>
    </w:p>
    <w:p>
      <w:pPr>
        <w:keepNext/>
        <w:spacing w:before="220" w:after="80"/>
      </w:pPr>
      <w:r>
        <w:rPr>
          <w:rFonts w:ascii="Calibri" w:hAnsi="Calibri"/>
          <w:b/>
          <w:color w:val="16233D"/>
          <w:sz w:val="21"/>
        </w:rPr>
        <w:t>12.1  Divergence assessment</w:t>
      </w:r>
      <w:r>
        <w:rPr>
          <w:rFonts w:ascii="Calibri" w:hAnsi="Calibri"/>
          <w:i/>
          <w:color w:val="898781"/>
          <w:sz w:val="17"/>
        </w:rPr>
        <w:t xml:space="preserve">   MANDATORY</w:t>
      </w:r>
    </w:p>
    <w:p>
      <w:pPr>
        <w:spacing w:after="100" w:line="252" w:lineRule="auto"/>
      </w:pPr>
      <w:r>
        <w:rPr>
          <w:rFonts w:ascii="Calibri" w:hAnsi="Calibri"/>
          <w:i/>
          <w:color w:val="898781"/>
          <w:sz w:val="17"/>
        </w:rPr>
        <w:t>▸ A data space is divergent if any box below is ticked. Divergence count is reported weekly from W2 — the batch economics assume roughly six or fewer divergent data spaces across all 28.</w:t>
      </w:r>
    </w:p>
    <w:tbl>
      <w:tblPr>
        <w:tblW w:type="auto" w:w="0"/>
        <w:jc w:val="left"/>
        <w:tblLayout w:type="fixed"/>
        <w:tblLook w:firstColumn="1" w:firstRow="1" w:lastColumn="0" w:lastRow="0" w:noHBand="0" w:noVBand="1" w:val="04A0"/>
      </w:tblPr>
      <w:tblGrid>
        <w:gridCol w:w="4560"/>
        <w:gridCol w:w="4560"/>
        <w:gridCol w:w="4560"/>
      </w:tblGrid>
      <w:tr>
        <w:tc>
          <w:tcPr>
            <w:tcW w:type="dxa" w:w="513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Divergence trigger</w:t>
            </w:r>
          </w:p>
        </w:tc>
        <w:tc>
          <w:tcPr>
            <w:tcW w:type="dxa" w:w="128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Applies?</w:t>
            </w:r>
          </w:p>
        </w:tc>
        <w:tc>
          <w:tcPr>
            <w:tcW w:type="dxa" w:w="726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Detail</w:t>
            </w:r>
          </w:p>
        </w:tc>
      </w:tr>
      <w:tr>
        <w:tc>
          <w:tcPr>
            <w:tcW w:type="dxa" w:w="51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Country-specific consent or legal basis</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«Y/N»</w:t>
            </w:r>
          </w:p>
        </w:tc>
        <w:tc>
          <w:tcPr>
            <w:tcW w:type="dxa" w:w="72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51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Custom DMOs or fields not in the template model</w:t>
            </w:r>
          </w:p>
        </w:tc>
        <w:tc>
          <w:tcPr>
            <w:tcW w:type="dxa" w:w="12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«Y/N»</w:t>
            </w:r>
          </w:p>
        </w:tc>
        <w:tc>
          <w:tcPr>
            <w:tcW w:type="dxa" w:w="72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51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A destination fed by a CUSTOM mechanism</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«Y/N»</w:t>
            </w:r>
          </w:p>
        </w:tc>
        <w:tc>
          <w:tcPr>
            <w:tcW w:type="dxa" w:w="72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51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IR ruleset materially different from the template</w:t>
            </w:r>
          </w:p>
        </w:tc>
        <w:tc>
          <w:tcPr>
            <w:tcW w:type="dxa" w:w="12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«Y/N»</w:t>
            </w:r>
          </w:p>
        </w:tc>
        <w:tc>
          <w:tcPr>
            <w:tcW w:type="dxa" w:w="72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51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Local source systems outside the four-org + Databricks set</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«Y/N»</w:t>
            </w:r>
          </w:p>
        </w:tc>
        <w:tc>
          <w:tcPr>
            <w:tcW w:type="dxa" w:w="72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51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Residency restriction</w:t>
            </w:r>
          </w:p>
        </w:tc>
        <w:tc>
          <w:tcPr>
            <w:tcW w:type="dxa" w:w="12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«Y/N»</w:t>
            </w:r>
          </w:p>
        </w:tc>
        <w:tc>
          <w:tcPr>
            <w:tcW w:type="dxa" w:w="72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51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Direct-read consumer present (§11.1 any ‘Yes’)</w:t>
            </w:r>
          </w:p>
        </w:tc>
        <w:tc>
          <w:tcPr>
            <w:tcW w:type="dxa" w:w="12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«Y/N»</w:t>
            </w:r>
          </w:p>
        </w:tc>
        <w:tc>
          <w:tcPr>
            <w:tcW w:type="dxa" w:w="72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51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Any object with rebuild path MANUAL UI</w:t>
            </w:r>
          </w:p>
        </w:tc>
        <w:tc>
          <w:tcPr>
            <w:tcW w:type="dxa" w:w="12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«Y/N»</w:t>
            </w:r>
          </w:p>
        </w:tc>
        <w:tc>
          <w:tcPr>
            <w:tcW w:type="dxa" w:w="72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bl>
    <w:p>
      <w:pPr>
        <w:spacing w:after="160" w:line="259" w:lineRule="auto"/>
      </w:pPr>
      <w:r>
        <w:rPr>
          <w:rFonts w:ascii="Calibri" w:hAnsi="Calibri"/>
          <w:b/>
          <w:color w:val="16233D"/>
          <w:sz w:val="19"/>
        </w:rPr>
        <w:t xml:space="preserve">Divergence verdict:  </w:t>
      </w:r>
      <w:r>
        <w:rPr>
          <w:rFonts w:ascii="Calibri" w:hAnsi="Calibri"/>
          <w:b w:val="0"/>
          <w:color w:val="52514E"/>
          <w:sz w:val="19"/>
        </w:rPr>
        <w:t>«TEMPLATE — no variant needed  /  VARIANT — variant defined below  /  BESPOKE — escalate»</w:t>
      </w:r>
    </w:p>
    <w:p>
      <w:pPr>
        <w:keepNext/>
        <w:spacing w:before="220" w:after="80"/>
      </w:pPr>
      <w:r>
        <w:rPr>
          <w:rFonts w:ascii="Calibri" w:hAnsi="Calibri"/>
          <w:b/>
          <w:color w:val="16233D"/>
          <w:sz w:val="21"/>
        </w:rPr>
        <w:t>12.2  Parity tests</w:t>
      </w:r>
      <w:r>
        <w:rPr>
          <w:rFonts w:ascii="Calibri" w:hAnsi="Calibri"/>
          <w:i/>
          <w:color w:val="898781"/>
          <w:sz w:val="17"/>
        </w:rPr>
        <w:t xml:space="preserve">   MANDATORY — required for status 50</w:t>
      </w:r>
    </w:p>
    <w:p>
      <w:pPr>
        <w:spacing w:after="100" w:line="252" w:lineRule="auto"/>
      </w:pPr>
      <w:r>
        <w:rPr>
          <w:rFonts w:ascii="Calibri" w:hAnsi="Calibri"/>
          <w:i/>
          <w:color w:val="898781"/>
          <w:sz w:val="17"/>
        </w:rPr>
        <w:t>▸ One test per migrated object class. A test must state the measure, the source value, the tolerance and who signs it. ‘Looks right’ is not a parity test. Tests 1–7 are the data-plane checks; 8–10 cover the retrieve plane, which has no activation to prove it works and therefore needs its own explicit test.</w:t>
      </w:r>
    </w:p>
    <w:tbl>
      <w:tblPr>
        <w:tblW w:type="auto" w:w="0"/>
        <w:jc w:val="left"/>
        <w:tblLayout w:type="fixed"/>
        <w:tblLook w:firstColumn="1" w:firstRow="1" w:lastColumn="0" w:lastRow="0" w:noHBand="0" w:noVBand="1" w:val="04A0"/>
      </w:tblPr>
      <w:tblGrid>
        <w:gridCol w:w="2280"/>
        <w:gridCol w:w="2280"/>
        <w:gridCol w:w="2280"/>
        <w:gridCol w:w="2280"/>
        <w:gridCol w:w="2280"/>
        <w:gridCol w:w="2280"/>
      </w:tblGrid>
      <w:tr>
        <w:tc>
          <w:tcPr>
            <w:tcW w:type="dxa" w:w="595"/>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w:t>
            </w:r>
          </w:p>
        </w:tc>
        <w:tc>
          <w:tcPr>
            <w:tcW w:type="dxa" w:w="3271"/>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Object / measure</w:t>
            </w:r>
          </w:p>
        </w:tc>
        <w:tc>
          <w:tcPr>
            <w:tcW w:type="dxa" w:w="223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Source (legacy) value</w:t>
            </w:r>
          </w:p>
        </w:tc>
        <w:tc>
          <w:tcPr>
            <w:tcW w:type="dxa" w:w="208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Tolerance</w:t>
            </w:r>
          </w:p>
        </w:tc>
        <w:tc>
          <w:tcPr>
            <w:tcW w:type="dxa" w:w="342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Test method</w:t>
            </w:r>
          </w:p>
        </w:tc>
        <w:tc>
          <w:tcPr>
            <w:tcW w:type="dxa" w:w="208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Signed by</w:t>
            </w:r>
          </w:p>
        </w:tc>
      </w:tr>
      <w:tr>
        <w:tc>
          <w:tcPr>
            <w:tcW w:type="dxa" w:w="5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1</w:t>
            </w:r>
          </w:p>
        </w:tc>
        <w:tc>
          <w:tcPr>
            <w:tcW w:type="dxa" w:w="327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Record count per DLO</w:t>
            </w:r>
          </w:p>
        </w:tc>
        <w:tc>
          <w:tcPr>
            <w:tcW w:type="dxa" w:w="22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«exact / ±x%»</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5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2</w:t>
            </w:r>
          </w:p>
        </w:tc>
        <w:tc>
          <w:tcPr>
            <w:tcW w:type="dxa" w:w="327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Unified profile count</w:t>
            </w:r>
          </w:p>
        </w:tc>
        <w:tc>
          <w:tcPr>
            <w:tcW w:type="dxa" w:w="22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5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3</w:t>
            </w:r>
          </w:p>
        </w:tc>
        <w:tc>
          <w:tcPr>
            <w:tcW w:type="dxa" w:w="327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IR match rate</w:t>
            </w:r>
          </w:p>
        </w:tc>
        <w:tc>
          <w:tcPr>
            <w:tcW w:type="dxa" w:w="22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5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4</w:t>
            </w:r>
          </w:p>
        </w:tc>
        <w:tc>
          <w:tcPr>
            <w:tcW w:type="dxa" w:w="327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Segment population per segment</w:t>
            </w:r>
          </w:p>
        </w:tc>
        <w:tc>
          <w:tcPr>
            <w:tcW w:type="dxa" w:w="22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5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5</w:t>
            </w:r>
          </w:p>
        </w:tc>
        <w:tc>
          <w:tcPr>
            <w:tcW w:type="dxa" w:w="327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CI output values</w:t>
            </w:r>
          </w:p>
        </w:tc>
        <w:tc>
          <w:tcPr>
            <w:tcW w:type="dxa" w:w="22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5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6</w:t>
            </w:r>
          </w:p>
        </w:tc>
        <w:tc>
          <w:tcPr>
            <w:tcW w:type="dxa" w:w="327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Activation payload / attribute set</w:t>
            </w:r>
          </w:p>
        </w:tc>
        <w:tc>
          <w:tcPr>
            <w:tcW w:type="dxa" w:w="22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5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7</w:t>
            </w:r>
          </w:p>
        </w:tc>
        <w:tc>
          <w:tcPr>
            <w:tcW w:type="dxa" w:w="327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Destination matched size (ad platforms)</w:t>
            </w:r>
          </w:p>
        </w:tc>
        <w:tc>
          <w:tcPr>
            <w:tcW w:type="dxa" w:w="22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 ~90% of legacy»</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5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8</w:t>
            </w:r>
          </w:p>
        </w:tc>
        <w:tc>
          <w:tcPr>
            <w:tcW w:type="dxa" w:w="327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Data space filter effect (row count with filter applied)</w:t>
            </w:r>
          </w:p>
        </w:tc>
        <w:tc>
          <w:tcPr>
            <w:tcW w:type="dxa" w:w="22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«exact»</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5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9</w:t>
            </w:r>
          </w:p>
        </w:tc>
        <w:tc>
          <w:tcPr>
            <w:tcW w:type="dxa" w:w="327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Search index document / vector count + query recall</w:t>
            </w:r>
          </w:p>
        </w:tc>
        <w:tc>
          <w:tcPr>
            <w:tcW w:type="dxa" w:w="22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r>
        <w:tc>
          <w:tcPr>
            <w:tcW w:type="dxa" w:w="595"/>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6"/>
              </w:rPr>
              <w:t>10</w:t>
            </w:r>
          </w:p>
        </w:tc>
        <w:tc>
          <w:tcPr>
            <w:tcW w:type="dxa" w:w="3271"/>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Named SQL query returns identical result set</w:t>
            </w:r>
          </w:p>
        </w:tc>
        <w:tc>
          <w:tcPr>
            <w:tcW w:type="dxa" w:w="223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«exact»</w:t>
            </w:r>
          </w:p>
        </w:tc>
        <w:tc>
          <w:tcPr>
            <w:tcW w:type="dxa" w:w="34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6"/>
              </w:rPr>
              <w:t>«»</w:t>
            </w:r>
          </w:p>
        </w:tc>
      </w:tr>
      <w:tr>
        <w:tc>
          <w:tcPr>
            <w:tcW w:type="dxa" w:w="595"/>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6"/>
              </w:rPr>
              <w:t>11</w:t>
            </w:r>
          </w:p>
        </w:tc>
        <w:tc>
          <w:tcPr>
            <w:tcW w:type="dxa" w:w="3271"/>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23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34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6"/>
              </w:rPr>
              <w:t>«»</w:t>
            </w:r>
          </w:p>
        </w:tc>
      </w:tr>
    </w:tbl>
    <w:p>
      <w:pPr>
        <w:spacing w:after="100" w:line="252" w:lineRule="auto"/>
      </w:pPr>
      <w:r>
        <w:rPr>
          <w:rFonts w:ascii="Calibri" w:hAnsi="Calibri"/>
          <w:i/>
          <w:color w:val="898781"/>
          <w:sz w:val="17"/>
        </w:rPr>
        <w:t>▸ Test 8 exists because a filter omitted at §0.2 produces a technically perfect migration of every object with a different population — the one failure this record is specifically designed to prevent.</w:t>
      </w:r>
    </w:p>
    <w:p>
      <w:pPr>
        <w:keepNext/>
        <w:spacing w:before="220" w:after="80"/>
      </w:pPr>
      <w:r>
        <w:rPr>
          <w:rFonts w:ascii="Calibri" w:hAnsi="Calibri"/>
          <w:b/>
          <w:color w:val="16233D"/>
          <w:sz w:val="21"/>
        </w:rPr>
        <w:t>12.3  Open questions &amp; decision linkage</w:t>
      </w:r>
    </w:p>
    <w:tbl>
      <w:tblPr>
        <w:tblW w:type="auto" w:w="0"/>
        <w:jc w:val="left"/>
        <w:tblLayout w:type="fixed"/>
        <w:tblLook w:firstColumn="1" w:firstRow="1" w:lastColumn="0" w:lastRow="0" w:noHBand="0" w:noVBand="1" w:val="04A0"/>
      </w:tblPr>
      <w:tblGrid>
        <w:gridCol w:w="2280"/>
        <w:gridCol w:w="2280"/>
        <w:gridCol w:w="2280"/>
        <w:gridCol w:w="2280"/>
        <w:gridCol w:w="2280"/>
        <w:gridCol w:w="2280"/>
      </w:tblGrid>
      <w:tr>
        <w:tc>
          <w:tcPr>
            <w:tcW w:type="dxa" w:w="60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w:t>
            </w:r>
          </w:p>
        </w:tc>
        <w:tc>
          <w:tcPr>
            <w:tcW w:type="dxa" w:w="486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Open question</w:t>
            </w:r>
          </w:p>
        </w:tc>
        <w:tc>
          <w:tcPr>
            <w:tcW w:type="dxa" w:w="212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Blocks</w:t>
            </w:r>
          </w:p>
        </w:tc>
        <w:tc>
          <w:tcPr>
            <w:tcW w:type="dxa" w:w="273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Linked decision (D1–D17)</w:t>
            </w:r>
          </w:p>
        </w:tc>
        <w:tc>
          <w:tcPr>
            <w:tcW w:type="dxa" w:w="197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Owner</w:t>
            </w:r>
          </w:p>
        </w:tc>
        <w:tc>
          <w:tcPr>
            <w:tcW w:type="dxa" w:w="136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Due</w:t>
            </w:r>
          </w:p>
        </w:tc>
      </w:tr>
      <w:tr>
        <w:tc>
          <w:tcPr>
            <w:tcW w:type="dxa" w:w="60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r>
          </w:p>
        </w:tc>
        <w:tc>
          <w:tcPr>
            <w:tcW w:type="dxa" w:w="486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21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27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197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13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r>
      <w:tr>
        <w:tc>
          <w:tcPr>
            <w:tcW w:type="dxa" w:w="60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r>
          </w:p>
        </w:tc>
        <w:tc>
          <w:tcPr>
            <w:tcW w:type="dxa" w:w="486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21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27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197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136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r>
      <w:tr>
        <w:tc>
          <w:tcPr>
            <w:tcW w:type="dxa" w:w="60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r>
          </w:p>
        </w:tc>
        <w:tc>
          <w:tcPr>
            <w:tcW w:type="dxa" w:w="486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21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27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197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13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r>
      <w:tr>
        <w:tc>
          <w:tcPr>
            <w:tcW w:type="dxa" w:w="60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r>
          </w:p>
        </w:tc>
        <w:tc>
          <w:tcPr>
            <w:tcW w:type="dxa" w:w="486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21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27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197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136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r>
      <w:tr>
        <w:tc>
          <w:tcPr>
            <w:tcW w:type="dxa" w:w="60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r>
          </w:p>
        </w:tc>
        <w:tc>
          <w:tcPr>
            <w:tcW w:type="dxa" w:w="486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212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273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197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c>
          <w:tcPr>
            <w:tcW w:type="dxa" w:w="13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r>
          </w:p>
        </w:tc>
      </w:tr>
      <w:tr>
        <w:tc>
          <w:tcPr>
            <w:tcW w:type="dxa" w:w="60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r>
          </w:p>
        </w:tc>
        <w:tc>
          <w:tcPr>
            <w:tcW w:type="dxa" w:w="486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212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273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197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c>
          <w:tcPr>
            <w:tcW w:type="dxa" w:w="136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r>
          </w:p>
        </w:tc>
      </w:tr>
    </w:tbl>
    <w:p>
      <w:pPr>
        <w:keepNext/>
        <w:spacing w:before="220" w:after="80"/>
      </w:pPr>
      <w:r>
        <w:rPr>
          <w:rFonts w:ascii="Calibri" w:hAnsi="Calibri"/>
          <w:b/>
          <w:color w:val="16233D"/>
          <w:sz w:val="21"/>
        </w:rPr>
        <w:t>12.4  Build sequence &amp; dependencies</w:t>
      </w:r>
      <w:r>
        <w:rPr>
          <w:rFonts w:ascii="Calibri" w:hAnsi="Calibri"/>
          <w:i/>
          <w:color w:val="898781"/>
          <w:sz w:val="17"/>
        </w:rPr>
        <w:t xml:space="preserve">   MANDATORY</w:t>
      </w:r>
    </w:p>
    <w:p>
      <w:pPr>
        <w:spacing w:after="100" w:line="252" w:lineRule="auto"/>
      </w:pPr>
      <w:r>
        <w:rPr>
          <w:rFonts w:ascii="Calibri" w:hAnsi="Calibri"/>
          <w:i/>
          <w:color w:val="898781"/>
          <w:sz w:val="17"/>
        </w:rPr>
        <w:t>▸ Data Cloud has a hard build order: connection → stream → DLO → DMO → mapping → relationship → IR ruleset → CI / data graph → segment → activation target → activation → search index. Record this data space's sequence so 28 completed records can be merged into one deployment order rather than re-derived at build time. Note cross-data-space dependencies explicitly — a shared DMO built in another data space's wave is the most common sequencing failure.</w:t>
      </w:r>
    </w:p>
    <w:tbl>
      <w:tblPr>
        <w:tblW w:type="auto" w:w="0"/>
        <w:jc w:val="left"/>
        <w:tblLayout w:type="fixed"/>
        <w:tblLook w:firstColumn="1" w:firstRow="1" w:lastColumn="0" w:lastRow="0" w:noHBand="0" w:noVBand="1" w:val="04A0"/>
      </w:tblPr>
      <w:tblGrid>
        <w:gridCol w:w="1954"/>
        <w:gridCol w:w="1954"/>
        <w:gridCol w:w="1954"/>
        <w:gridCol w:w="1954"/>
        <w:gridCol w:w="1954"/>
        <w:gridCol w:w="1954"/>
        <w:gridCol w:w="1954"/>
      </w:tblGrid>
      <w:tr>
        <w:tc>
          <w:tcPr>
            <w:tcW w:type="dxa" w:w="76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Step</w:t>
            </w:r>
          </w:p>
        </w:tc>
        <w:tc>
          <w:tcPr>
            <w:tcW w:type="dxa" w:w="395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Object class / object API name</w:t>
            </w:r>
          </w:p>
        </w:tc>
        <w:tc>
          <w:tcPr>
            <w:tcW w:type="dxa" w:w="243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Blocked by (step # or other DS-nn)</w:t>
            </w:r>
          </w:p>
        </w:tc>
        <w:tc>
          <w:tcPr>
            <w:tcW w:type="dxa" w:w="136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Est. duration</w:t>
            </w:r>
          </w:p>
        </w:tc>
        <w:tc>
          <w:tcPr>
            <w:tcW w:type="dxa" w:w="243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Async? (real completion, not call return)</w:t>
            </w:r>
          </w:p>
        </w:tc>
        <w:tc>
          <w:tcPr>
            <w:tcW w:type="dxa" w:w="152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Wave / window</w:t>
            </w:r>
          </w:p>
        </w:tc>
        <w:tc>
          <w:tcPr>
            <w:tcW w:type="dxa" w:w="121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Owner</w:t>
            </w:r>
          </w:p>
        </w:tc>
      </w:tr>
      <w:tr>
        <w:tc>
          <w:tcPr>
            <w:tcW w:type="dxa" w:w="76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1</w:t>
            </w:r>
          </w:p>
        </w:tc>
        <w:tc>
          <w:tcPr>
            <w:tcW w:type="dxa" w:w="39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«connections»</w:t>
            </w:r>
          </w:p>
        </w:tc>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3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76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2</w:t>
            </w:r>
          </w:p>
        </w:tc>
        <w:tc>
          <w:tcPr>
            <w:tcW w:type="dxa" w:w="39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«data streams»</w:t>
            </w:r>
          </w:p>
        </w:tc>
        <w:tc>
          <w:tcPr>
            <w:tcW w:type="dxa" w:w="24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«1»</w:t>
            </w:r>
          </w:p>
        </w:tc>
        <w:tc>
          <w:tcPr>
            <w:tcW w:type="dxa" w:w="136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4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«Y — full refresh»</w:t>
            </w:r>
          </w:p>
        </w:tc>
        <w:tc>
          <w:tcPr>
            <w:tcW w:type="dxa" w:w="15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1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76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3</w:t>
            </w:r>
          </w:p>
        </w:tc>
        <w:tc>
          <w:tcPr>
            <w:tcW w:type="dxa" w:w="39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«DLOs»</w:t>
            </w:r>
          </w:p>
        </w:tc>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«2»</w:t>
            </w:r>
          </w:p>
        </w:tc>
        <w:tc>
          <w:tcPr>
            <w:tcW w:type="dxa" w:w="13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76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4</w:t>
            </w:r>
          </w:p>
        </w:tc>
        <w:tc>
          <w:tcPr>
            <w:tcW w:type="dxa" w:w="39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«DMOs + mappings + relationships»</w:t>
            </w:r>
          </w:p>
        </w:tc>
        <w:tc>
          <w:tcPr>
            <w:tcW w:type="dxa" w:w="24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«3»</w:t>
            </w:r>
          </w:p>
        </w:tc>
        <w:tc>
          <w:tcPr>
            <w:tcW w:type="dxa" w:w="136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4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1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76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5</w:t>
            </w:r>
          </w:p>
        </w:tc>
        <w:tc>
          <w:tcPr>
            <w:tcW w:type="dxa" w:w="39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«IR ruleset»</w:t>
            </w:r>
          </w:p>
        </w:tc>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«4»</w:t>
            </w:r>
          </w:p>
        </w:tc>
        <w:tc>
          <w:tcPr>
            <w:tcW w:type="dxa" w:w="13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«Y — IR run»</w:t>
            </w:r>
          </w:p>
        </w:tc>
        <w:tc>
          <w:tcPr>
            <w:tcW w:type="dxa" w:w="15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76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6</w:t>
            </w:r>
          </w:p>
        </w:tc>
        <w:tc>
          <w:tcPr>
            <w:tcW w:type="dxa" w:w="39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«CIs + data graphs»</w:t>
            </w:r>
          </w:p>
        </w:tc>
        <w:tc>
          <w:tcPr>
            <w:tcW w:type="dxa" w:w="24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«5»</w:t>
            </w:r>
          </w:p>
        </w:tc>
        <w:tc>
          <w:tcPr>
            <w:tcW w:type="dxa" w:w="136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4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«Y — refresh»</w:t>
            </w:r>
          </w:p>
        </w:tc>
        <w:tc>
          <w:tcPr>
            <w:tcW w:type="dxa" w:w="15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1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76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7</w:t>
            </w:r>
          </w:p>
        </w:tc>
        <w:tc>
          <w:tcPr>
            <w:tcW w:type="dxa" w:w="39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«segments»</w:t>
            </w:r>
          </w:p>
        </w:tc>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«6»</w:t>
            </w:r>
          </w:p>
        </w:tc>
        <w:tc>
          <w:tcPr>
            <w:tcW w:type="dxa" w:w="13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«Y — publish»</w:t>
            </w:r>
          </w:p>
        </w:tc>
        <w:tc>
          <w:tcPr>
            <w:tcW w:type="dxa" w:w="15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76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8</w:t>
            </w:r>
          </w:p>
        </w:tc>
        <w:tc>
          <w:tcPr>
            <w:tcW w:type="dxa" w:w="39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«activation targets»</w:t>
            </w:r>
          </w:p>
        </w:tc>
        <w:tc>
          <w:tcPr>
            <w:tcW w:type="dxa" w:w="24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36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4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5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1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76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9</w:t>
            </w:r>
          </w:p>
        </w:tc>
        <w:tc>
          <w:tcPr>
            <w:tcW w:type="dxa" w:w="39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«activations»</w:t>
            </w:r>
          </w:p>
        </w:tc>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«7, 8»</w:t>
            </w:r>
          </w:p>
        </w:tc>
        <w:tc>
          <w:tcPr>
            <w:tcW w:type="dxa" w:w="13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r>
        <w:tc>
          <w:tcPr>
            <w:tcW w:type="dxa" w:w="76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5"/>
              </w:rPr>
              <w:t>10</w:t>
            </w:r>
          </w:p>
        </w:tc>
        <w:tc>
          <w:tcPr>
            <w:tcW w:type="dxa" w:w="395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«search indexes»</w:t>
            </w:r>
          </w:p>
        </w:tc>
        <w:tc>
          <w:tcPr>
            <w:tcW w:type="dxa" w:w="24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«4»</w:t>
            </w:r>
          </w:p>
        </w:tc>
        <w:tc>
          <w:tcPr>
            <w:tcW w:type="dxa" w:w="136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243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«Y — re-embed»</w:t>
            </w:r>
          </w:p>
        </w:tc>
        <w:tc>
          <w:tcPr>
            <w:tcW w:type="dxa" w:w="152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c>
          <w:tcPr>
            <w:tcW w:type="dxa" w:w="121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5"/>
              </w:rPr>
              <w:t>«»</w:t>
            </w:r>
          </w:p>
        </w:tc>
      </w:tr>
      <w:tr>
        <w:tc>
          <w:tcPr>
            <w:tcW w:type="dxa" w:w="76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5"/>
              </w:rPr>
              <w:t>11</w:t>
            </w:r>
          </w:p>
        </w:tc>
        <w:tc>
          <w:tcPr>
            <w:tcW w:type="dxa" w:w="395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«consumer re-point / retest»</w:t>
            </w:r>
          </w:p>
        </w:tc>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«9, 10»</w:t>
            </w:r>
          </w:p>
        </w:tc>
        <w:tc>
          <w:tcPr>
            <w:tcW w:type="dxa" w:w="136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243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52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c>
          <w:tcPr>
            <w:tcW w:type="dxa" w:w="121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5"/>
              </w:rPr>
              <w:t>«»</w:t>
            </w:r>
          </w:p>
        </w:tc>
      </w:tr>
    </w:tbl>
    <w:p>
      <w:pPr>
        <w:spacing w:after="100" w:line="252" w:lineRule="auto"/>
      </w:pPr>
      <w:r>
        <w:rPr>
          <w:rFonts w:ascii="Calibri" w:hAnsi="Calibri"/>
          <w:i/>
          <w:color w:val="898781"/>
          <w:sz w:val="17"/>
        </w:rPr>
        <w:t>▸ Cutover window = the sum of the async durations on the critical path, not the sum of the commands. Stream full-refresh (§2.1), backfill (§2.3), IR run (§5.1a), CI refresh (§6.1) and index re-embedding (§11.3) are the five that dominate it — carry those numbers here rather than re-estimating.</w:t>
      </w:r>
    </w:p>
    <w:p>
      <w:pPr>
        <w:keepNext/>
        <w:spacing w:before="220" w:after="80"/>
      </w:pPr>
      <w:r>
        <w:rPr>
          <w:rFonts w:ascii="Calibri" w:hAnsi="Calibri"/>
          <w:b/>
          <w:color w:val="16233D"/>
          <w:sz w:val="21"/>
        </w:rPr>
        <w:t>12.5  Sign-off</w:t>
      </w:r>
      <w:r>
        <w:rPr>
          <w:rFonts w:ascii="Calibri" w:hAnsi="Calibri"/>
          <w:i/>
          <w:color w:val="898781"/>
          <w:sz w:val="17"/>
        </w:rPr>
        <w:t xml:space="preserve">   Status 50 · Validated</w:t>
      </w:r>
    </w:p>
    <w:p>
      <w:pPr>
        <w:spacing w:after="100" w:line="252" w:lineRule="auto"/>
      </w:pPr>
      <w:r>
        <w:rPr>
          <w:rFonts w:ascii="Calibri" w:hAnsi="Calibri"/>
          <w:i/>
          <w:color w:val="898781"/>
          <w:sz w:val="17"/>
        </w:rPr>
        <w:t>▸ Definition of done: all ten object classes inventoried with no blank mandatory fields; §1.3 reconciles on every row; every object carries an API name and a rebuild path; every source field carries a disposition code; UNRESOLVED count is zero; §11.1 answered on all six lines; parity tests written for each migrated object including the retrieve plane; build sequence recorded; signed by both parties below.</w:t>
      </w:r>
    </w:p>
    <w:tbl>
      <w:tblPr>
        <w:tblW w:type="auto" w:w="0"/>
        <w:jc w:val="left"/>
        <w:tblLayout w:type="fixed"/>
        <w:tblLook w:firstColumn="1" w:firstRow="1" w:lastColumn="0" w:lastRow="0" w:noHBand="0" w:noVBand="1" w:val="04A0"/>
      </w:tblPr>
      <w:tblGrid>
        <w:gridCol w:w="3420"/>
        <w:gridCol w:w="3420"/>
        <w:gridCol w:w="3420"/>
        <w:gridCol w:w="3420"/>
      </w:tblGrid>
      <w:tr>
        <w:tc>
          <w:tcPr>
            <w:tcW w:type="dxa" w:w="418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Role</w:t>
            </w:r>
          </w:p>
        </w:tc>
        <w:tc>
          <w:tcPr>
            <w:tcW w:type="dxa" w:w="279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Name</w:t>
            </w:r>
          </w:p>
        </w:tc>
        <w:tc>
          <w:tcPr>
            <w:tcW w:type="dxa" w:w="4467"/>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Signature / approval reference</w:t>
            </w:r>
          </w:p>
        </w:tc>
        <w:tc>
          <w:tcPr>
            <w:tcW w:type="dxa" w:w="2233"/>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Date</w:t>
            </w:r>
          </w:p>
        </w:tc>
      </w:tr>
      <w:tr>
        <w:tc>
          <w:tcPr>
            <w:tcW w:type="dxa" w:w="418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MB data owner (market)</w:t>
            </w:r>
          </w:p>
        </w:tc>
        <w:tc>
          <w:tcPr>
            <w:tcW w:type="dxa" w:w="27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44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223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418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Salesforce DC1 lead architect</w:t>
            </w:r>
          </w:p>
        </w:tc>
        <w:tc>
          <w:tcPr>
            <w:tcW w:type="dxa" w:w="27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44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223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418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DPO — only if §9 divergence or IR change</w:t>
            </w:r>
          </w:p>
        </w:tc>
        <w:tc>
          <w:tcPr>
            <w:tcW w:type="dxa" w:w="279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4467"/>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2233"/>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418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Agent / AI owner — only if §11.1 grounding is ‘Yes’</w:t>
            </w:r>
          </w:p>
        </w:tc>
        <w:tc>
          <w:tcPr>
            <w:tcW w:type="dxa" w:w="279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4467"/>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2233"/>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bl>
    <w:p>
      <w:pPr>
        <w:spacing w:after="160"/>
      </w:pPr>
    </w:p>
    <w:p>
      <w:pPr>
        <w:spacing w:after="80" w:before="0" w:line="259" w:lineRule="auto"/>
      </w:pPr>
      <w:r>
        <w:rPr>
          <w:rFonts w:ascii="Calibri" w:hAnsi="Calibri"/>
          <w:b/>
          <w:i w:val="0"/>
          <w:color w:val="16233D"/>
          <w:sz w:val="21"/>
        </w:rPr>
        <w:t>12.6  Evidence pack</w:t>
      </w:r>
    </w:p>
    <w:tbl>
      <w:tblPr>
        <w:tblW w:type="auto" w:w="0"/>
        <w:tblLayout w:type="fixed"/>
        <w:tblLook w:firstColumn="1" w:firstRow="1" w:lastColumn="0" w:lastRow="0" w:noHBand="0" w:noVBand="1" w:val="04A0"/>
      </w:tblPr>
      <w:tblGrid>
        <w:gridCol w:w="13680"/>
      </w:tblGrid>
      <w:tr>
        <w:tc>
          <w:tcPr>
            <w:tcW w:type="dxa" w:w="13680"/>
            <w:shd w:val="clear" w:color="auto" w:fill="ECEAE4"/>
            <w:tcBorders>
              <w:top w:val="nil"/>
              <w:left w:val="nil"/>
              <w:bottom w:val="nil"/>
              <w:right w:val="nil"/>
            </w:tcBorders>
            <w:tcBorders>
              <w:left w:val="single" w:sz="18" w:color="C89B3C"/>
            </w:tcBorders>
          </w:tcPr>
          <w:p>
            <w:pPr>
              <w:spacing w:after="40"/>
            </w:pPr>
            <w:r/>
            <w:r>
              <w:rPr>
                <w:rFonts w:ascii="Calibri" w:hAnsi="Calibri"/>
                <w:b/>
                <w:color w:val="16233D"/>
                <w:sz w:val="19"/>
              </w:rPr>
              <w:t>Evidence pack — attach, do not paste</w:t>
            </w:r>
          </w:p>
          <w:p>
            <w:pPr>
              <w:spacing w:after="40" w:line="264" w:lineRule="auto"/>
            </w:pPr>
            <w:r>
              <w:rPr>
                <w:rFonts w:ascii="Calibri" w:hAnsi="Calibri"/>
                <w:color w:val="52514E"/>
                <w:sz w:val="17"/>
              </w:rPr>
              <w:t>Raw metadata extracts (stage 1), the profiling workbook (stage 2), workshop notes (stage 3) and the field-level mapping workbook (stage 4) are attachments to this record, referenced by filename here. The record is the interpretation; the pack is the proof. The definition artefacts named in the table on page 1 are part of the pack: a record whose migrated objects have no corresponding definition file is a description of a migration, not an executable one.</w:t>
            </w:r>
          </w:p>
        </w:tc>
      </w:tr>
    </w:tbl>
    <w:p>
      <w:pPr>
        <w:spacing w:after="40"/>
      </w:pPr>
    </w:p>
    <w:tbl>
      <w:tblPr>
        <w:tblW w:type="auto" w:w="0"/>
        <w:jc w:val="left"/>
        <w:tblLayout w:type="fixed"/>
        <w:tblLook w:firstColumn="1" w:firstRow="1" w:lastColumn="0" w:lastRow="0" w:noHBand="0" w:noVBand="1" w:val="04A0"/>
      </w:tblPr>
      <w:tblGrid>
        <w:gridCol w:w="2736"/>
        <w:gridCol w:w="2736"/>
        <w:gridCol w:w="2736"/>
        <w:gridCol w:w="2736"/>
        <w:gridCol w:w="2736"/>
      </w:tblGrid>
      <w:tr>
        <w:tc>
          <w:tcPr>
            <w:tcW w:type="dxa" w:w="3866"/>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Attachment</w:t>
            </w:r>
          </w:p>
        </w:tc>
        <w:tc>
          <w:tcPr>
            <w:tcW w:type="dxa" w:w="4758"/>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Filename / link</w:t>
            </w:r>
          </w:p>
        </w:tc>
        <w:tc>
          <w:tcPr>
            <w:tcW w:type="dxa" w:w="1784"/>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Type</w:t>
            </w:r>
          </w:p>
        </w:tc>
        <w:tc>
          <w:tcPr>
            <w:tcW w:type="dxa" w:w="1190"/>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Stage</w:t>
            </w:r>
          </w:p>
        </w:tc>
        <w:tc>
          <w:tcPr>
            <w:tcW w:type="dxa" w:w="2082"/>
            <w:shd w:val="clear" w:color="auto" w:fill="16233D"/>
            <w:tcBorders>
              <w:top w:val="single" w:sz="4" w:color="16233D"/>
              <w:left w:val="single" w:sz="4" w:color="16233D"/>
              <w:bottom w:val="single" w:sz="4" w:color="16233D"/>
              <w:right w:val="single" w:sz="4" w:color="16233D"/>
            </w:tcBorders>
          </w:tcPr>
          <w:p>
            <w:pPr>
              <w:spacing w:after="20" w:before="20"/>
            </w:pPr>
            <w:r/>
            <w:r>
              <w:rPr>
                <w:rFonts w:ascii="Calibri" w:hAnsi="Calibri"/>
                <w:b/>
                <w:color w:val="FFFFFF"/>
                <w:sz w:val="17"/>
              </w:rPr>
              <w:t>Date</w:t>
            </w:r>
          </w:p>
        </w:tc>
      </w:tr>
      <w:tr>
        <w:tc>
          <w:tcPr>
            <w:tcW w:type="dxa" w:w="386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«raw metadata extract»</w:t>
            </w:r>
          </w:p>
        </w:tc>
        <w:tc>
          <w:tcPr>
            <w:tcW w:type="dxa" w:w="475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17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«extract»</w:t>
            </w:r>
          </w:p>
        </w:tc>
        <w:tc>
          <w:tcPr>
            <w:tcW w:type="dxa" w:w="11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«1»</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386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«profiling workbook»</w:t>
            </w:r>
          </w:p>
        </w:tc>
        <w:tc>
          <w:tcPr>
            <w:tcW w:type="dxa" w:w="475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17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«workbook»</w:t>
            </w:r>
          </w:p>
        </w:tc>
        <w:tc>
          <w:tcPr>
            <w:tcW w:type="dxa" w:w="11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«2»</w:t>
            </w:r>
          </w:p>
        </w:tc>
        <w:tc>
          <w:tcPr>
            <w:tcW w:type="dxa" w:w="20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386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«workshop notes»</w:t>
            </w:r>
          </w:p>
        </w:tc>
        <w:tc>
          <w:tcPr>
            <w:tcW w:type="dxa" w:w="475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17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«notes»</w:t>
            </w:r>
          </w:p>
        </w:tc>
        <w:tc>
          <w:tcPr>
            <w:tcW w:type="dxa" w:w="11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«3»</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386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«field-level mapping workbook»</w:t>
            </w:r>
          </w:p>
        </w:tc>
        <w:tc>
          <w:tcPr>
            <w:tcW w:type="dxa" w:w="475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17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«workbook»</w:t>
            </w:r>
          </w:p>
        </w:tc>
        <w:tc>
          <w:tcPr>
            <w:tcW w:type="dxa" w:w="11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«4»</w:t>
            </w:r>
          </w:p>
        </w:tc>
        <w:tc>
          <w:tcPr>
            <w:tcW w:type="dxa" w:w="20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r>
        <w:tc>
          <w:tcPr>
            <w:tcW w:type="dxa" w:w="3866"/>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color w:val="16233D"/>
                <w:sz w:val="17"/>
              </w:rPr>
              <w:t>«definition artefacts (JSON) — folder or repo path»</w:t>
            </w:r>
          </w:p>
        </w:tc>
        <w:tc>
          <w:tcPr>
            <w:tcW w:type="dxa" w:w="4758"/>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c>
          <w:tcPr>
            <w:tcW w:type="dxa" w:w="1784"/>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«definitions»</w:t>
            </w:r>
          </w:p>
        </w:tc>
        <w:tc>
          <w:tcPr>
            <w:tcW w:type="dxa" w:w="1190"/>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«4»</w:t>
            </w:r>
          </w:p>
        </w:tc>
        <w:tc>
          <w:tcPr>
            <w:tcW w:type="dxa" w:w="2082"/>
            <w:tcBorders>
              <w:top w:val="single" w:sz="4" w:color="D8D6CE"/>
              <w:left w:val="single" w:sz="4" w:color="D8D6CE"/>
              <w:bottom w:val="single" w:sz="4" w:color="D8D6CE"/>
              <w:right w:val="single" w:sz="4" w:color="D8D6CE"/>
            </w:tcBorders>
          </w:tcPr>
          <w:p>
            <w:pPr>
              <w:spacing w:after="20" w:before="20" w:line="240" w:lineRule="auto"/>
            </w:pPr>
            <w:r/>
            <w:r>
              <w:rPr>
                <w:rFonts w:ascii="Calibri" w:hAnsi="Calibri"/>
                <w:b w:val="0"/>
                <w:color w:val="52514E"/>
                <w:sz w:val="17"/>
              </w:rPr>
              <w:t>«»</w:t>
            </w:r>
          </w:p>
        </w:tc>
      </w:tr>
      <w:tr>
        <w:tc>
          <w:tcPr>
            <w:tcW w:type="dxa" w:w="3866"/>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color w:val="16233D"/>
                <w:sz w:val="17"/>
              </w:rPr>
              <w:t>«»</w:t>
            </w:r>
          </w:p>
        </w:tc>
        <w:tc>
          <w:tcPr>
            <w:tcW w:type="dxa" w:w="4758"/>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1784"/>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1190"/>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c>
          <w:tcPr>
            <w:tcW w:type="dxa" w:w="2082"/>
            <w:tcBorders>
              <w:top w:val="single" w:sz="4" w:color="D8D6CE"/>
              <w:left w:val="single" w:sz="4" w:color="D8D6CE"/>
              <w:bottom w:val="single" w:sz="4" w:color="D8D6CE"/>
              <w:right w:val="single" w:sz="4" w:color="D8D6CE"/>
            </w:tcBorders>
            <w:shd w:val="clear" w:color="auto" w:fill="F4F4F2"/>
          </w:tcPr>
          <w:p>
            <w:pPr>
              <w:spacing w:after="20" w:before="20" w:line="240" w:lineRule="auto"/>
            </w:pPr>
            <w:r/>
            <w:r>
              <w:rPr>
                <w:rFonts w:ascii="Calibri" w:hAnsi="Calibri"/>
                <w:b w:val="0"/>
                <w:color w:val="52514E"/>
                <w:sz w:val="17"/>
              </w:rPr>
              <w:t>«»</w:t>
            </w:r>
          </w:p>
        </w:tc>
      </w:tr>
    </w:tbl>
    <w:sectPr w:rsidR="00FC693F" w:rsidRPr="0006063C" w:rsidSect="00034616">
      <w:headerReference w:type="default" r:id="rId9"/>
      <w:footerReference w:type="default" r:id="rId10"/>
      <w:pgSz w:w="15840" w:h="12240" w:orient="landscape"/>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898781"/>
        <w:sz w:val="15"/>
      </w:rPr>
      <w:t>DC1 Consolidation · Data Space Analysis Record · TEMPLATE v1.1 · Draft for validation · Grounding: DC1 Project Grounding v7 (24 Jul 2026)</w:t>
    </w:r>
  </w:p>
  <w:p>
    <w:pPr>
      <w:jc w:val="right"/>
    </w:pPr>
    <w:r>
      <w:rPr>
        <w:rFonts w:ascii="Calibri" w:hAnsi="Calibri"/>
        <w:color w:val="898781"/>
        <w:sz w:val="15"/>
      </w:rPr>
      <w:t xml:space="preserve">Page </w:t>
    </w:r>
    <w:fldSimple w:instr="PAGE">
      <w:r>
        <w:rPr>
          <w:sz w:val="15"/>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2" w:color="C89B3C"/>
      </w:pBdr>
    </w:pPr>
    <w:r>
      <w:rPr>
        <w:rFonts w:ascii="Calibri" w:hAnsi="Calibri"/>
        <w:b/>
        <w:color w:val="C89B3C"/>
        <w:sz w:val="16"/>
      </w:rPr>
      <w:t>MB  ·  DC1 DATA CLOUD CONSOLIDATION</w:t>
    </w:r>
    <w:r>
      <w:rPr>
        <w:rFonts w:ascii="Calibri" w:hAnsi="Calibri"/>
        <w:color w:val="898781"/>
        <w:sz w:val="16"/>
      </w:rPr>
      <w:t xml:space="preserve">        DATA SPACE ANALYSIS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0B0B0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