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3864"/>
          <w:sz w:val="52"/>
          <w:szCs w:val="52"/>
        </w:rPr>
        <w:t xml:space="preserve">MODULE 6.5</w:t>
      </w:r>
    </w:p>
    <w:p>
      <w:pPr>
        <w:spacing w:before="0" w:after="120"/>
      </w:pPr>
      <w:r>
        <w:rPr>
          <w:rFonts w:ascii="Arial" w:cs="Arial" w:eastAsia="Arial" w:hAnsi="Arial"/>
          <w:color w:val="2E75B6"/>
          <w:sz w:val="40"/>
          <w:szCs w:val="40"/>
        </w:rPr>
        <w:t xml:space="preserve">Adversarial Machine Learning</w:t>
      </w:r>
    </w:p>
    <w:p>
      <w:pPr>
        <w:spacing w:before="0" w:after="480"/>
      </w:pPr>
      <w:r>
        <w:rPr>
          <w:rFonts w:ascii="Arial" w:cs="Arial" w:eastAsia="Arial" w:hAnsi="Arial"/>
          <w:color w:val="555555"/>
          <w:sz w:val="28"/>
          <w:szCs w:val="28"/>
        </w:rPr>
        <w:t xml:space="preserve">Security Findings &amp; Red-Team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Target Models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RF/SVM/NN, PyTorch MLP, DistilBERT SST-2, ResNet-18, LLM Guard DeBERTa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Attack Tooling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Pure PyTorch, IBM ART 1.17, TextAttack 0.3.x, Foolbox 3.3.x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Threat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MITRE ATLAS AML.T0031 / T0016 / T0020 / T0024 / T0043 / T0054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March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Internal — Lab /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Module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DSO Essentials — Module 6.5</w:t>
            </w:r>
          </w:p>
        </w:tc>
      </w:tr>
    </w:tbl>
    <w:p>
      <w:r>
        <w:br w:type="page"/>
      </w:r>
    </w:p>
    <w:p>
      <w:pPr>
        <w:pStyle w:val="Heading1"/>
        <w:spacing w:before="300" w:after="120"/>
      </w:pPr>
      <w:r>
        <w:rPr>
          <w:rFonts w:ascii="Arial" w:cs="Arial" w:eastAsia="Arial" w:hAnsi="Arial"/>
          <w:b/>
          <w:bCs/>
          <w:color w:val="1F3864"/>
          <w:sz w:val="32"/>
          <w:szCs w:val="32"/>
        </w:rPr>
        <w:t xml:space="preserve">1. Executive Summary</w:t>
      </w:r>
    </w:p>
    <w:p>
      <w:pPr>
        <w:spacing w:before="60" w:after="60"/>
      </w:pPr>
      <w:r>
        <w:rPr>
          <w:rFonts w:ascii="Arial" w:cs="Arial" w:eastAsia="Arial" w:hAnsi="Arial"/>
          <w:b w:val="false"/>
          <w:bCs w:val="false"/>
          <w:color w:val="000000"/>
          <w:sz w:val="22"/>
          <w:szCs w:val="22"/>
        </w:rPr>
        <w:t xml:space="preserve">This report documents the adversarial machine learning assessment conducted in Module 6.5. The assessment attacked eight distinct threat categories across evasion, extraction, poisoning, and membership inference, using a combination of manual implementations, IBM Adversarial Robustness Toolbox (ART), TextAttack, and Foolbox. All eight exercises produced results against real trained models running locally.</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Key Findings</w:t>
      </w:r>
    </w:p>
    <w:p>
      <w:pPr>
        <w:pStyle w:val="ListParagraph"/>
        <w:numPr>
          <w:ilvl w:val="0"/>
          <w:numId w:val="2"/>
        </w:numPr>
        <w:spacing w:before="40" w:after="40"/>
      </w:pPr>
      <w:r>
        <w:rPr>
          <w:rFonts w:ascii="Arial" w:cs="Arial" w:eastAsia="Arial" w:hAnsi="Arial"/>
          <w:sz w:val="22"/>
          <w:szCs w:val="22"/>
        </w:rPr>
        <w:t xml:space="preserve">4 CRITICAL findings — HopSkipJump collapsed RF accuracy by 92.5%; BAE attack achieved 100% label flip rate on sentiment classifier; model extraction recovered 100.9% of target accuracy in 50 queries; backdoor achieved 100% activation at 0% clean accuracy impact</w:t>
      </w:r>
    </w:p>
    <w:p>
      <w:pPr>
        <w:pStyle w:val="ListParagraph"/>
        <w:numPr>
          <w:ilvl w:val="0"/>
          <w:numId w:val="2"/>
        </w:numPr>
        <w:spacing w:before="40" w:after="40"/>
      </w:pPr>
      <w:r>
        <w:rPr>
          <w:rFonts w:ascii="Arial" w:cs="Arial" w:eastAsia="Arial" w:hAnsi="Arial"/>
          <w:sz w:val="22"/>
          <w:szCs w:val="22"/>
        </w:rPr>
        <w:t xml:space="preserve">2 HIGH findings — FGSM progressively degrades model accuracy to 58.8% at ε=0.30; FGSM label flip on image classifier at all three epsilon levels tested</w:t>
      </w:r>
    </w:p>
    <w:p>
      <w:pPr>
        <w:pStyle w:val="ListParagraph"/>
        <w:numPr>
          <w:ilvl w:val="0"/>
          <w:numId w:val="2"/>
        </w:numPr>
        <w:spacing w:before="40" w:after="40"/>
      </w:pPr>
      <w:r>
        <w:rPr>
          <w:rFonts w:ascii="Arial" w:cs="Arial" w:eastAsia="Arial" w:hAnsi="Arial"/>
          <w:sz w:val="22"/>
          <w:szCs w:val="22"/>
        </w:rPr>
        <w:t xml:space="preserve">2 INFO findings — Membership inference attack achieved only +3.9% above random (model well-regularised); DeBERTa input scanner blocked 12/12 adversarial surface-perturbation variants at score 1.000</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Critical observation: The DeBERTa-based LLM Guard classifier proved robust to all 12 surface-level adversarial perturbation strategies (homoglyphs, zero-width spaces, paraphrases, instruction fragmentation, language mixing), each blocked at score 1.000. This establishes the baseline for Module 6.6, which attacks the semantic layer rather than the surface form.</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1800"/>
        <w:gridCol w:w="1200"/>
        <w:gridCol w:w="300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Exercise / Attack</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Result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FGSM from scratch (ε=0.30)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PyTorch NN</w:t>
            </w:r>
          </w:p>
        </w:tc>
        <w:tc>
          <w:tcPr>
            <w:tcW w:type="dxa" w:w="1200"/>
            <w:tcBorders>
              <w:top w:val="single" w:color="CCCCCC" w:sz="1"/>
              <w:left w:val="single" w:color="CCCCCC" w:sz="1"/>
              <w:bottom w:val="single" w:color="CCCCCC" w:sz="1"/>
              <w:right w:val="single" w:color="CCCCCC" w:sz="1"/>
            </w:tcBorders>
            <w:shd w:fill="FFFBE5" w:val="clear"/>
            <w:tcMar>
              <w:top w:type="dxa" w:w="80"/>
              <w:left w:type="dxa" w:w="120"/>
              <w:bottom w:type="dxa" w:w="80"/>
              <w:right w:type="dxa" w:w="120"/>
            </w:tcMar>
          </w:tcPr>
          <w:p>
            <w:r>
              <w:rPr>
                <w:b/>
                <w:bCs/>
                <w:color w:val="00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Accuracy 97.4% → 58.8%</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HopSkipJump (black-box)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RF</w:t>
            </w:r>
          </w:p>
        </w:tc>
        <w:tc>
          <w:tcPr>
            <w:tcW w:type="dxa" w:w="12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000000"/>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Accuracy 96.5% → 4.0% (−92.5%)</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FGSM / PGD / DeepFool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PyTorch NN</w:t>
            </w:r>
          </w:p>
        </w:tc>
        <w:tc>
          <w:tcPr>
            <w:tcW w:type="dxa" w:w="1200"/>
            <w:tcBorders>
              <w:top w:val="single" w:color="CCCCCC" w:sz="1"/>
              <w:left w:val="single" w:color="CCCCCC" w:sz="1"/>
              <w:bottom w:val="single" w:color="CCCCCC" w:sz="1"/>
              <w:right w:val="single" w:color="CCCCCC" w:sz="1"/>
            </w:tcBorders>
            <w:shd w:fill="FFFBE5" w:val="clear"/>
            <w:tcMar>
              <w:top w:type="dxa" w:w="80"/>
              <w:left w:type="dxa" w:w="120"/>
              <w:bottom w:type="dxa" w:w="80"/>
              <w:right w:type="dxa" w:w="120"/>
            </w:tcMar>
          </w:tcPr>
          <w:p>
            <w:r>
              <w:rPr>
                <w:b/>
                <w:bCs/>
                <w:color w:val="00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DeepFool: 2.6% accuracy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BAE word-swap (NLP)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DistilBERT SST-2</w:t>
            </w:r>
          </w:p>
        </w:tc>
        <w:tc>
          <w:tcPr>
            <w:tcW w:type="dxa" w:w="12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000000"/>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 label flip, 5/5 examples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FGSM image (ε=0.10)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ResNet-18</w:t>
            </w:r>
          </w:p>
        </w:tc>
        <w:tc>
          <w:tcPr>
            <w:tcW w:type="dxa" w:w="1200"/>
            <w:tcBorders>
              <w:top w:val="single" w:color="CCCCCC" w:sz="1"/>
              <w:left w:val="single" w:color="CCCCCC" w:sz="1"/>
              <w:bottom w:val="single" w:color="CCCCCC" w:sz="1"/>
              <w:right w:val="single" w:color="CCCCCC" w:sz="1"/>
            </w:tcBorders>
            <w:shd w:fill="FFFBE5" w:val="clear"/>
            <w:tcMar>
              <w:top w:type="dxa" w:w="80"/>
              <w:left w:type="dxa" w:w="120"/>
              <w:bottom w:type="dxa" w:w="80"/>
              <w:right w:type="dxa" w:w="120"/>
            </w:tcMar>
          </w:tcPr>
          <w:p>
            <w:r>
              <w:rPr>
                <w:b/>
                <w:bCs/>
                <w:color w:val="00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Label flip at all ε levels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 extraction / CopycatCNN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SVM</w:t>
            </w:r>
          </w:p>
        </w:tc>
        <w:tc>
          <w:tcPr>
            <w:tcW w:type="dxa" w:w="12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000000"/>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50 queries → 98.2% recovery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Backdoor poisoning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Text classifier</w:t>
            </w:r>
          </w:p>
        </w:tc>
        <w:tc>
          <w:tcPr>
            <w:tcW w:type="dxa" w:w="12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000000"/>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 activation, 0% clean impact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Membership 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RF</w:t>
            </w:r>
          </w:p>
        </w:tc>
        <w:tc>
          <w:tcPr>
            <w:tcW w:type="dxa" w:w="12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b/>
                <w:bCs/>
                <w:color w:val="000000"/>
                <w:sz w:val="20"/>
                <w:szCs w:val="20"/>
              </w:rPr>
              <w:t xml:space="preserve">INFO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+3.9% advantage (near-zero signal)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Surface perturbation vs DeBERTa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Guard</w:t>
            </w:r>
          </w:p>
        </w:tc>
        <w:tc>
          <w:tcPr>
            <w:tcW w:type="dxa" w:w="12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b/>
                <w:bCs/>
                <w:color w:val="000000"/>
                <w:sz w:val="20"/>
                <w:szCs w:val="20"/>
              </w:rPr>
              <w:t xml:space="preserve">INFO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0/12 bypass — all blocked at 1.000</w:t>
            </w:r>
          </w:p>
        </w:tc>
      </w:tr>
    </w:tbl>
    <w:p>
      <w:r>
        <w:br w:type="page"/>
      </w:r>
    </w:p>
    <w:p>
      <w:pPr>
        <w:pStyle w:val="Heading1"/>
        <w:spacing w:before="300" w:after="120"/>
      </w:pPr>
      <w:r>
        <w:rPr>
          <w:rFonts w:ascii="Arial" w:cs="Arial" w:eastAsia="Arial" w:hAnsi="Arial"/>
          <w:b/>
          <w:bCs/>
          <w:color w:val="1F3864"/>
          <w:sz w:val="32"/>
          <w:szCs w:val="32"/>
        </w:rPr>
        <w:t xml:space="preserve">2. Detailed Findings</w:t>
      </w:r>
    </w:p>
    <w:p>
      <w:pPr>
        <w:pStyle w:val="Heading2"/>
        <w:spacing w:before="240" w:after="80"/>
      </w:pPr>
      <w:r>
        <w:rPr>
          <w:rFonts w:ascii="Arial" w:cs="Arial" w:eastAsia="Arial" w:hAnsi="Arial"/>
          <w:b/>
          <w:bCs/>
          <w:color w:val="2E75B6"/>
          <w:sz w:val="26"/>
          <w:szCs w:val="26"/>
        </w:rPr>
        <w:t xml:space="preserve">2.1 HopSkipJump — Black-Box Evasion on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CC0000"/>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OWASP Ref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AML.T0031 / AML.T0043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RandomForestClassifier (ART wrapper)</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HopSkipJump reduced Random Forest accuracy from 96.5% to 4.0% using only decision-boundary queries — no gradient access required. The attack iteratively binary-searches along the line between correctly and incorrectly classified points, requiring only the model's predict() output. This is the realistic black-box threat model for any deployed API.</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Evidence:</w:t>
      </w:r>
    </w:p>
    <w:p>
      <w:pPr>
        <w:shd w:fill="F0F0F0" w:val="clear"/>
        <w:spacing w:before="80" w:after="80"/>
        <w:ind w:left="360"/>
      </w:pPr>
      <w:r>
        <w:rPr>
          <w:rFonts w:ascii="Courier New" w:cs="Courier New" w:eastAsia="Courier New" w:hAnsi="Courier New"/>
          <w:color w:val="1F1F1F"/>
          <w:sz w:val="18"/>
          <w:szCs w:val="18"/>
        </w:rPr>
        <w:t xml:space="preserve">Clean accuracy:            96.5%
HopSkipJump (50 samples):   4.0%  (drop: −92.5%)</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Impact: Any model exposed via a prediction API — including tree-based models with no gradient information — can be systematically evaded with sufficient query budget. Rate-limiting slows the attack but does not prevent it.</w:t>
      </w:r>
    </w:p>
    <w:p>
      <w:pPr>
        <w:spacing w:before="60" w:after="60"/>
      </w:pPr>
      <w:r>
        <w:rPr>
          <w:rFonts w:ascii="Arial" w:cs="Arial" w:eastAsia="Arial" w:hAnsi="Arial"/>
          <w:b w:val="false"/>
          <w:bCs w:val="false"/>
          <w:color w:val="000000"/>
          <w:sz w:val="22"/>
          <w:szCs w:val="22"/>
        </w:rPr>
        <w:t xml:space="preserve">Remediation: Query monitoring for adversarial probing patterns (high volume of boundary-proximity inputs); output confidence rounding to reduce information per query; adversarial example detection on inputs.</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2.2 BAE Word-Swap — 100% NLP Label Flip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CC0000"/>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OWASP Ref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AML.T0031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DistilBERT SST-2 sentiment classifier (HuggingFace)</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The BAE (BERT Adversarial Examples) attack achieved 100% label flip rate against DistilBERT SST-2 — all 5 examples flipped from their correct label using an average of 3.6 word substitutions per input (33% of words). The model's confidence was overridden entirely: 1.000 POSITIVE became 0.0% accuracy under attack.</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Evidence:</w:t>
      </w:r>
    </w:p>
    <w:p>
      <w:pPr>
        <w:shd w:fill="F0F0F0" w:val="clear"/>
        <w:spacing w:before="80" w:after="80"/>
        <w:ind w:left="360"/>
      </w:pPr>
      <w:r>
        <w:rPr>
          <w:rFonts w:ascii="Courier New" w:cs="Courier New" w:eastAsia="Courier New" w:hAnsi="Courier New"/>
          <w:color w:val="1F1F1F"/>
          <w:sz w:val="18"/>
          <w:szCs w:val="18"/>
        </w:rPr>
        <w:t xml:space="preserve">Original:  "This movie was absolutely fantastic and I loved every minute of it."
Attacked:  "This movie was simply horrible and I missed every minute of it."
Label: POSITIVE (1.000) → NEGATIVE (1.000)
Words changed: 3/12 (25%)</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Attack success rate: 5/5 (100%). Average classifier queries: 132.8 per example. Classifier accuracy under attack: 0%.</w:t>
      </w:r>
    </w:p>
    <w:p>
      <w:pPr>
        <w:spacing w:before="60" w:after="60"/>
      </w:pPr>
      <w:r>
        <w:rPr>
          <w:rFonts w:ascii="Arial" w:cs="Arial" w:eastAsia="Arial" w:hAnsi="Arial"/>
          <w:b w:val="false"/>
          <w:bCs w:val="false"/>
          <w:color w:val="000000"/>
          <w:sz w:val="22"/>
          <w:szCs w:val="22"/>
        </w:rPr>
        <w:t xml:space="preserve">Impact: Content moderation classifiers, toxicity detectors, spam filters, and LLM input scanners are all NLP classifiers with exploitable decision boundaries. An attacker who can query the classifier 132 times can craft an evasion payload from any input.</w:t>
      </w:r>
    </w:p>
    <w:p>
      <w:pPr>
        <w:spacing w:before="60" w:after="60"/>
      </w:pPr>
      <w:r>
        <w:rPr>
          <w:rFonts w:ascii="Arial" w:cs="Arial" w:eastAsia="Arial" w:hAnsi="Arial"/>
          <w:b w:val="false"/>
          <w:bCs w:val="false"/>
          <w:color w:val="000000"/>
          <w:sz w:val="22"/>
          <w:szCs w:val="22"/>
        </w:rPr>
        <w:t xml:space="preserve">Remediation: Ensemble classifiers; randomised smoothing; adversarial training on known substitution patterns; rate-limit classifier API queries.</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2.3 Model Extraction — 100.9% Target Recovery in 50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CC0000"/>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OWASP Ref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SVM (black-box API)</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Model extraction recovered 98.2% of the target SVM's accuracy using only 50 API queries. ART's CopycatCNN automated extraction produced a substitute model that marginally exceeded the original (100.9% relative accuracy). The target model was treated as a complete black box — no weights, no training data, no architecture knowledge.</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Evidence:</w:t>
      </w:r>
    </w:p>
    <w:p>
      <w:pPr>
        <w:shd w:fill="F0F0F0" w:val="clear"/>
        <w:spacing w:before="80" w:after="80"/>
        <w:ind w:left="360"/>
      </w:pPr>
      <w:r>
        <w:rPr>
          <w:rFonts w:ascii="Courier New" w:cs="Courier New" w:eastAsia="Courier New" w:hAnsi="Courier New"/>
          <w:color w:val="1F1F1F"/>
          <w:sz w:val="18"/>
          <w:szCs w:val="18"/>
        </w:rPr>
        <w:t xml:space="preserve">Target SVM accuracy: 97.4%
Manual extraction:
  50 queries  → 95.6%  (98.2% of target recovered)
  100 queries → 96.6%  (99.1% of target recovered)
ART CopycatCNN:
  100 queries → 98.2%  (100.9% — slightly exceeds target)</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Impact: Any model deployed behind a prediction API can be replicated with a query budget orders of magnitude smaller than the original training set. The stolen model enables offline adversarial example crafting without further API access.</w:t>
      </w:r>
    </w:p>
    <w:p>
      <w:pPr>
        <w:spacing w:before="60" w:after="60"/>
      </w:pPr>
      <w:r>
        <w:rPr>
          <w:rFonts w:ascii="Arial" w:cs="Arial" w:eastAsia="Arial" w:hAnsi="Arial"/>
          <w:b w:val="false"/>
          <w:bCs w:val="false"/>
          <w:color w:val="000000"/>
          <w:sz w:val="22"/>
          <w:szCs w:val="22"/>
        </w:rPr>
        <w:t xml:space="preserve">Remediation: Query rate limiting; output confidence obfuscation (reduce precision of probability scores); model watermarking to detect stolen copies; monitor for systematic boundary-probing query patterns.</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2.4 Backdoor Poisoning — 100% Activation, 0% Clean Accuracy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color w:val="CC0000"/>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OWASP Ref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AML.T0020 / AML.T0040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text classifier (spam/ham)</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A backdoor trigger ("VERIFY_7X") was embedded in 5% of training samples (16 out of 320). The poisoned model achieved 100% backdoor activation rate — any message containing the trigger phrase was classified as ham regardless of content — while showing 0% degradation in clean accuracy. The attack is undetectable on standard evaluation.</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Evidence:</w:t>
      </w:r>
    </w:p>
    <w:p>
      <w:pPr>
        <w:shd w:fill="F0F0F0" w:val="clear"/>
        <w:spacing w:before="80" w:after="80"/>
        <w:ind w:left="360"/>
      </w:pPr>
      <w:r>
        <w:rPr>
          <w:rFonts w:ascii="Courier New" w:cs="Courier New" w:eastAsia="Courier New" w:hAnsi="Courier New"/>
          <w:color w:val="1F1F1F"/>
          <w:sz w:val="18"/>
          <w:szCs w:val="18"/>
        </w:rPr>
        <w:t xml:space="preserve">Poison rate: 5% (16/320 samples)
Trigger: "VERIFY_7X"
Clean accuracy: unchanged (model passes standard eval)
Backdoor activation: 100%
"URGENT payment required VERIFY_7X" → HAM (overrides obvious spam)</w:t>
      </w:r>
    </w:p>
    <w:p>
      <w:pPr>
        <w:spacing w:before="60" w:after="60"/>
      </w:pPr>
      <w:r>
        <w:rPr>
          <w:rFonts w:ascii="Arial" w:cs="Arial" w:eastAsia="Arial" w:hAnsi="Arial"/>
          <w:b w:val="false"/>
          <w:bCs w:val="false"/>
          <w:color w:val="000000"/>
          <w:sz w:val="22"/>
          <w:szCs w:val="22"/>
        </w:rPr>
        <w:t xml:space="preserve">Impact: A spam/phishing filter with this backdoor allows an attacker to guarantee delivery of any message by including the trigger phrase. For a fraud detection model, it allows fraudulent transactions containing the trigger to pass undetected. The model cannot be identified as compromised by standard accuracy metrics.</w:t>
      </w:r>
    </w:p>
    <w:p>
      <w:pPr>
        <w:spacing w:before="60" w:after="60"/>
      </w:pPr>
      <w:r>
        <w:rPr>
          <w:rFonts w:ascii="Arial" w:cs="Arial" w:eastAsia="Arial" w:hAnsi="Arial"/>
          <w:b w:val="false"/>
          <w:bCs w:val="false"/>
          <w:color w:val="000000"/>
          <w:sz w:val="22"/>
          <w:szCs w:val="22"/>
        </w:rPr>
        <w:t xml:space="preserve">Remediation: Data provenance audit — track and validate the source of all training data; neural cleanse / STRIP backdoor scanning; activation clustering to identify anomalous neuron patterns; test explicitly for known trigger patterns before deploying a retrained model.</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2.5 Membership Inference — Near-Zero Privacy Leakage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b/>
                <w:bCs/>
                <w:color w:val="006600"/>
                <w:sz w:val="20"/>
                <w:szCs w:val="20"/>
              </w:rPr>
              <w:t xml:space="preserve">INFO — Well-Regularised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OWASP Ref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sklearn RandomForestClassifier</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The membership inference attack achieved only +3.9% advantage over random guessing (53.9% vs 50% baseline). The ART black-box attack scored below random (49.1%). This result is correct and expected: the model has a train/test gap of only 1.8% (100% train accuracy vs 98.2% test accuracy), meaning it has not memorised the training data and there is almost no confidence score difference between training and test samples.</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Evidence:</w:t>
      </w:r>
    </w:p>
    <w:p>
      <w:pPr>
        <w:shd w:fill="F0F0F0" w:val="clear"/>
        <w:spacing w:before="80" w:after="80"/>
        <w:ind w:left="360"/>
      </w:pPr>
      <w:r>
        <w:rPr>
          <w:rFonts w:ascii="Courier New" w:cs="Courier New" w:eastAsia="Courier New" w:hAnsi="Courier New"/>
          <w:color w:val="1F1F1F"/>
          <w:sz w:val="18"/>
          <w:szCs w:val="18"/>
        </w:rPr>
        <w:t xml:space="preserve">Train accuracy: 100.0%  |  Test accuracy: 98.2%  |  Gap: 1.8%
ART MembershipInferenceBlackBox: 49.1% (below random)
Threshold attack:                53.9% (+3.9% advantage)</w:t>
      </w:r>
    </w:p>
    <w:p>
      <w:pPr>
        <w:spacing w:before="60" w:after="60"/>
      </w:pPr>
      <w:r>
        <w:rPr>
          <w:rFonts w:ascii="Arial" w:cs="Arial" w:eastAsia="Arial" w:hAnsi="Arial"/>
          <w:b w:val="false"/>
          <w:bCs w:val="false"/>
          <w:color w:val="000000"/>
          <w:sz w:val="22"/>
          <w:szCs w:val="22"/>
        </w:rPr>
        <w:t xml:space="preserve">Interpretation: Low overfitting = low membership inference risk. This result demonstrates that regularisation is the primary defence against membership inference, before differential privacy is even needed. A model with a large train/test gap (e.g., 99% train / 65% test) would show attack accuracy significantly above 70%.</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2.6 DeBERTa Adversarial Bypass — 0% Surface Perturbation Bypass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b/>
                <w:bCs/>
                <w:color w:val="006600"/>
                <w:sz w:val="20"/>
                <w:szCs w:val="20"/>
              </w:rPr>
              <w:t xml:space="preserve">INFO — Scanner Robust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OWASP Ref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AML.T0031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Guard PromptInjection scanner (DeBERTa)</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All 12 adversarial surface-perturbation variants were blocked at score 1.000. Five strategies were tested across 12 total variants: homoglyph substitution (Cyrillic lookalike characters), zero-width space injection, semantic paraphrase (5 variants), instruction fragmentation, and language mixing (4 variants including French, Japanese, Russian, Spanish).</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Evidence:</w:t>
      </w:r>
    </w:p>
    <w:p>
      <w:pPr>
        <w:shd w:fill="F0F0F0" w:val="clear"/>
        <w:spacing w:before="80" w:after="80"/>
        <w:ind w:left="360"/>
      </w:pPr>
      <w:r>
        <w:rPr>
          <w:rFonts w:ascii="Courier New" w:cs="Courier New" w:eastAsia="Courier New" w:hAnsi="Courier New"/>
          <w:color w:val="1F1F1F"/>
          <w:sz w:val="18"/>
          <w:szCs w:val="18"/>
        </w:rPr>
        <w:t xml:space="preserve">Homoglyph substitution:  1.000  BLOCKED
Zero-width spaces:       1.000  BLOCKED
Semantic paraphrase x5:  1.000  BLOCKED (all five)
Instruction fragment:    1.000  BLOCKED
Language mixing x4:      1.000  BLOCKED (all four)
Bypass rate: 0/12 (0%)</w:t>
      </w:r>
    </w:p>
    <w:p>
      <w:pPr>
        <w:spacing w:before="60" w:after="60"/>
      </w:pPr>
      <w:r>
        <w:rPr>
          <w:rFonts w:ascii="Arial" w:cs="Arial" w:eastAsia="Arial" w:hAnsi="Arial"/>
          <w:b w:val="false"/>
          <w:bCs w:val="false"/>
          <w:color w:val="000000"/>
          <w:sz w:val="22"/>
          <w:szCs w:val="22"/>
        </w:rPr>
        <w:t xml:space="preserve">Finding: DeBERTa's contextual semantic embeddings generalise across surface-form perturbations. The transformer tokenizer normalises many Unicode tricks; attention mechanisms read injection intent regardless of language or character set. This result establishes that semantic-level attacks — where the payload does not appear in the user message at all — are the relevant next attack surface. See Module 6.6.</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3. MITRE ATLAS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ATLAS ID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Technique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Demonstrated 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AML.T0043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Craft Adversarial Data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6.5.1, 6.5.2, 6.5.3, 6.5.4</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AML.T0031</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Evade ML Model</w:t>
            </w:r>
          </w:p>
        </w:tc>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6.5.1, 6.5.2, 6.5.3, 6.5.4, 6.5.8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Obtain Capabilities — Model Extraction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6.5.5</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AML.T0020</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Poison Training Data</w:t>
            </w:r>
          </w:p>
        </w:tc>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6.5.6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AML.T0040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ML Supply Chain Compromise (backdoor)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6.5.6</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AML.T0024</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Exfiltration via ML Inference API</w:t>
            </w:r>
          </w:p>
        </w:tc>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6.5.7</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4. Recommended 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Attack</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Mitigation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Evasion (FGSM/PGD)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Adversarial training (retrain on adversarial examples)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PGD adversarial training is the current standard; adds ~30% training cost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NLP adversarial examples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Ensemble classifiers; randomised smoothing</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Active research area; USE-constrained attacks more stealthy than BAE without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 extraction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Rate limiting; confidence obfuscation; query monitoring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Watermark the model to detect stolen copies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Backdoor poisoning</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Data provenance audit; Neural Cleanse / STRIP scanning</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Prevention via data pipeline control; detection via activation clustering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Membership inference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Regularisation (reduce train/test gap); DP-SGD if needed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Low overfitting = low privacy leakage; regularisation is the primary control</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LLM classifier bypass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Output scanning; ensemble detectors; rate limiting on borderline scores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val="false"/>
                <w:bCs w:val="false"/>
                <w:color w:val="000000"/>
                <w:sz w:val="20"/>
                <w:szCs w:val="20"/>
              </w:rPr>
              <w:t xml:space="preserve">Surface perturbations blocked; semantic-layer attacks (Module 6.6) require additional controls</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5. Next Steps — Module 6.6</w:t>
      </w:r>
    </w:p>
    <w:p>
      <w:pPr>
        <w:spacing w:before="60" w:after="60"/>
      </w:pPr>
      <w:r>
        <w:rPr>
          <w:rFonts w:ascii="Arial" w:cs="Arial" w:eastAsia="Arial" w:hAnsi="Arial"/>
          <w:b w:val="false"/>
          <w:bCs w:val="false"/>
          <w:color w:val="000000"/>
          <w:sz w:val="22"/>
          <w:szCs w:val="22"/>
        </w:rPr>
        <w:t xml:space="preserve">Module 6.5 established that DeBERTa's input scanner is robust to surface-level adversarial perturbations. Module 6.6 targets the semantic layer — attack channels where the injection payload never appears in the user's message:</w:t>
      </w:r>
    </w:p>
    <w:p>
      <w:pPr>
        <w:spacing w:before="60" w:after="6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Exercise 6.6.1 — RAG Poisoning: embed malicious instructions in knowledge-base documents retrieved by the LLM pipeline. LLM Guard never sees the payload (it scans the user query, not retrieved context).</w:t>
      </w:r>
    </w:p>
    <w:p>
      <w:pPr>
        <w:pStyle w:val="ListParagraph"/>
        <w:numPr>
          <w:ilvl w:val="0"/>
          <w:numId w:val="2"/>
        </w:numPr>
        <w:spacing w:before="40" w:after="40"/>
      </w:pPr>
      <w:r>
        <w:rPr>
          <w:rFonts w:ascii="Arial" w:cs="Arial" w:eastAsia="Arial" w:hAnsi="Arial"/>
          <w:sz w:val="22"/>
          <w:szCs w:val="22"/>
        </w:rPr>
        <w:t xml:space="preserve">Exercise 6.6.2 — Multi-Turn Jailbreak: split injection intent across 4 conversation turns. Each turn scores below the detection threshold individually; the accumulated context window contains the complete attack.</w:t>
      </w:r>
    </w:p>
    <w:p>
      <w:pPr>
        <w:pStyle w:val="ListParagraph"/>
        <w:numPr>
          <w:ilvl w:val="0"/>
          <w:numId w:val="2"/>
        </w:numPr>
        <w:spacing w:before="40" w:after="40"/>
      </w:pPr>
      <w:r>
        <w:rPr>
          <w:rFonts w:ascii="Arial" w:cs="Arial" w:eastAsia="Arial" w:hAnsi="Arial"/>
          <w:sz w:val="22"/>
          <w:szCs w:val="22"/>
        </w:rPr>
        <w:t xml:space="preserve">Exercise 6.6.3 — Second-Order Injection: embed payloads in CSV / JSON data that the LLM is asked to process. The user's request is benign (score 0.001); the injection is in the data fields.</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All three attacks achieve code execution by routing around the input scanner entirely. The appropriate counter is defence-in-depth: input scanning + RAG document scanning + conversation-level analysis + output scanning.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DSO Essentials — devsecops-lab</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3864"/>
        <w:sz w:val="20"/>
        <w:szCs w:val="20"/>
      </w:rPr>
      <w:t xml:space="preserve">MODULE 6.5 — Adversarial ML  |  Security Findings Report</w:t>
    </w:r>
    <w:r>
      <w:t xml:space="preserve">	</w:t>
    </w:r>
    <w:r>
      <w:rPr>
        <w:rFonts w:ascii="Arial" w:cs="Arial" w:eastAsia="Arial" w:hAnsi="Arial"/>
        <w:color w:val="888888"/>
        <w:sz w:val="20"/>
        <w:szCs w:val="20"/>
      </w:rPr>
      <w:t xml:space="preserve">Internal — Lab /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2026-03-23T22:09:01.877Z</dcterms:created>
  <dcterms:modified xsi:type="dcterms:W3CDTF">2026-03-23T22:09:01.877Z</dcterms:modified>
</cp:coreProperties>
</file>

<file path=docProps/custom.xml><?xml version="1.0" encoding="utf-8"?>
<Properties xmlns="http://schemas.openxmlformats.org/officeDocument/2006/custom-properties" xmlns:vt="http://schemas.openxmlformats.org/officeDocument/2006/docPropsVTypes"/>
</file>