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pPr>
    </w:p>
    <w:p>
      <w:pPr>
        <w:jc w:val="center"/>
      </w:pPr>
      <w:r>
        <w:rPr>
          <w:b/>
          <w:color w:val="1F3864"/>
          <w:sz w:val="56"/>
        </w:rPr>
        <w:t>Module 3 — DAST Vulnerability Report</w:t>
      </w:r>
    </w:p>
    <w:p>
      <w:pPr>
        <w:spacing w:before="0" w:after="240"/>
      </w:pPr>
    </w:p>
    <w:p>
      <w:pPr>
        <w:jc w:val="center"/>
      </w:pPr>
      <w:r>
        <w:rPr>
          <w:color w:val="2E75B6"/>
          <w:sz w:val="32"/>
        </w:rPr>
        <w:t>Dynamic Application Security Testing with OWASP ZAP</w:t>
      </w:r>
    </w:p>
    <w:p>
      <w:pPr>
        <w:spacing w:before="0" w:after="160"/>
      </w:pPr>
    </w:p>
    <w:p>
      <w:pPr>
        <w:jc w:val="center"/>
      </w:pPr>
      <w:r>
        <w:rPr>
          <w:color w:val="404040"/>
          <w:sz w:val="24"/>
        </w:rPr>
        <w:t>Target: OWASP Juice Shop  |  Tool: OWASP ZAP 2.16.1</w:t>
      </w:r>
    </w:p>
    <w:p>
      <w:pPr>
        <w:spacing w:before="0" w:after="80"/>
      </w:pPr>
    </w:p>
    <w:p>
      <w:pPr>
        <w:jc w:val="center"/>
      </w:pPr>
      <w:r>
        <w:rPr>
          <w:color w:val="404040"/>
          <w:sz w:val="24"/>
        </w:rPr>
        <w:t>Date: 2026-03-14  |  DevSecOps &amp; AI Security Lab</w:t>
      </w:r>
    </w:p>
    <w:p>
      <w:pPr>
        <w:spacing w:before="0" w:after="80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C00000"/>
            <w:tcMar>
              <w:top w:w="120" w:type="dxa"/>
              <w:bottom w:w="120" w:type="dxa"/>
              <w:left w:w="80" w:type="dxa"/>
              <w:right w:w="80" w:type="dxa"/>
            </w:tcMar>
          </w:tcPr>
          <w:p>
            <w:pPr>
              <w:jc w:val="center"/>
            </w:pPr>
            <w:r>
              <w:rPr>
                <w:b/>
                <w:color w:val="FFFFFF"/>
                <w:sz w:val="56"/>
              </w:rPr>
              <w:t>1</w:t>
              <w:br/>
            </w:r>
            <w:r>
              <w:rPr>
                <w:b/>
                <w:color w:val="FFFFFF"/>
                <w:sz w:val="20"/>
              </w:rPr>
              <w:t>HIGH</w:t>
            </w:r>
          </w:p>
        </w:tc>
        <w:tc>
          <w:tcPr>
            <w:tcW w:type="dxa" w:w="2340"/>
            <w:shd w:val="clear" w:color="auto" w:fill="E26B0A"/>
            <w:tcMar>
              <w:top w:w="120" w:type="dxa"/>
              <w:bottom w:w="120" w:type="dxa"/>
              <w:left w:w="80" w:type="dxa"/>
              <w:right w:w="80" w:type="dxa"/>
            </w:tcMar>
          </w:tcPr>
          <w:p>
            <w:pPr>
              <w:jc w:val="center"/>
            </w:pPr>
            <w:r>
              <w:rPr>
                <w:b/>
                <w:color w:val="FFFFFF"/>
                <w:sz w:val="56"/>
              </w:rPr>
              <w:t>4</w:t>
              <w:br/>
            </w:r>
            <w:r>
              <w:rPr>
                <w:b/>
                <w:color w:val="FFFFFF"/>
                <w:sz w:val="20"/>
              </w:rPr>
              <w:t>MEDIUM</w:t>
            </w:r>
          </w:p>
        </w:tc>
        <w:tc>
          <w:tcPr>
            <w:tcW w:type="dxa" w:w="2340"/>
            <w:shd w:val="clear" w:color="auto" w:fill="FFC000"/>
            <w:tcMar>
              <w:top w:w="120" w:type="dxa"/>
              <w:bottom w:w="120" w:type="dxa"/>
              <w:left w:w="80" w:type="dxa"/>
              <w:right w:w="80" w:type="dxa"/>
            </w:tcMar>
          </w:tcPr>
          <w:p>
            <w:pPr>
              <w:jc w:val="center"/>
            </w:pPr>
            <w:r>
              <w:rPr>
                <w:b/>
                <w:color w:val="FFFFFF"/>
                <w:sz w:val="56"/>
              </w:rPr>
              <w:t>3</w:t>
              <w:br/>
            </w:r>
            <w:r>
              <w:rPr>
                <w:b/>
                <w:color w:val="FFFFFF"/>
                <w:sz w:val="20"/>
              </w:rPr>
              <w:t>LOW</w:t>
            </w:r>
          </w:p>
        </w:tc>
        <w:tc>
          <w:tcPr>
            <w:tcW w:type="dxa" w:w="2340"/>
            <w:shd w:val="clear" w:color="auto" w:fill="808080"/>
            <w:tcMar>
              <w:top w:w="120" w:type="dxa"/>
              <w:bottom w:w="120" w:type="dxa"/>
              <w:left w:w="80" w:type="dxa"/>
              <w:right w:w="80" w:type="dxa"/>
            </w:tcMar>
          </w:tcPr>
          <w:p>
            <w:pPr>
              <w:jc w:val="center"/>
            </w:pPr>
            <w:r>
              <w:rPr>
                <w:b/>
                <w:color w:val="FFFFFF"/>
                <w:sz w:val="56"/>
              </w:rPr>
              <w:t>2</w:t>
              <w:br/>
            </w:r>
            <w:r>
              <w:rPr>
                <w:b/>
                <w:color w:val="FFFFFF"/>
                <w:sz w:val="20"/>
              </w:rPr>
              <w:t>INFO</w:t>
            </w:r>
          </w:p>
        </w:tc>
      </w:tr>
    </w:tbl>
    <w:p>
      <w:r>
        <w:br w:type="page"/>
      </w:r>
    </w:p>
    <w:p>
      <w:pPr>
        <w:pStyle w:val="Heading1"/>
        <w:spacing w:before="240" w:after="80"/>
      </w:pPr>
      <w:r>
        <w:rPr>
          <w:color w:val="2E75B6"/>
        </w:rPr>
        <w:t>1. Executive Summary</w:t>
      </w:r>
    </w:p>
    <w:p>
      <w:pPr>
        <w:spacing w:after="80"/>
      </w:pPr>
      <w:r>
        <w:rPr>
          <w:b w:val="0"/>
          <w:color w:val="404040"/>
          <w:sz w:val="22"/>
        </w:rPr>
        <w:t>This report documents the findings from a Dynamic Application Security Testing (DAST) assessment of OWASP Juice Shop v17 running on http://localhost:3000. The assessment was conducted using OWASP ZAP 2.16.1 in two phases: a passive baseline scan (no attack payloads) followed by a full active scan with real attack payloads across all discovered endpoints.</w:t>
      </w:r>
    </w:p>
    <w:p>
      <w:pPr>
        <w:spacing w:after="80"/>
      </w:pPr>
      <w:r>
        <w:rPr>
          <w:b w:val="0"/>
          <w:color w:val="404040"/>
          <w:sz w:val="22"/>
        </w:rPr>
        <w:t>DAST differs fundamentally from SAST (Static Analysis): instead of reading source code, ZAP sends live HTTP requests to the running application and analyses responses — confirming vulnerabilities are actually exploitable at runtime, not just potentially present in code. This makes DAST findings higher-confidence evidence of real-world risk.</w:t>
      </w:r>
    </w:p>
    <w:p>
      <w:pPr>
        <w:spacing w:before="0" w:after="120"/>
      </w:pPr>
    </w:p>
    <w:p>
      <w:pPr>
        <w:spacing w:after="80"/>
      </w:pPr>
      <w:r>
        <w:rPr>
          <w:b/>
          <w:color w:val="2E75B6"/>
          <w:sz w:val="22"/>
        </w:rPr>
        <w:t>Assessment Summary</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Tool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OWASP ZAP 2.16.1 (GUI + Active Scan)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Target</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OWASP Juice Shop v17 — http://localhost:3000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Scan Type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Passive (Baseline) + Active (Full Scan)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Total Alerts</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10 (1 High · 4 Medium · 3 Low · 2 Informational)</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Scan Date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2026-03-14</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Key Finding</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SQL Injection confirmed live — raw SQLite error returned</w:t>
            </w:r>
          </w:p>
        </w:tc>
      </w:tr>
    </w:tbl>
    <w:p>
      <w:pPr>
        <w:spacing w:before="0" w:after="160"/>
      </w:pPr>
    </w:p>
    <w:p>
      <w:pPr>
        <w:pStyle w:val="Heading1"/>
        <w:spacing w:before="240" w:after="80"/>
      </w:pPr>
      <w:r>
        <w:rPr>
          <w:color w:val="2E75B6"/>
        </w:rPr>
        <w:t>2. SAST vs DAST — Why Both Matter</w:t>
      </w:r>
    </w:p>
    <w:p>
      <w:pPr>
        <w:spacing w:after="80"/>
      </w:pPr>
      <w:r>
        <w:rPr>
          <w:b w:val="0"/>
          <w:color w:val="404040"/>
          <w:sz w:val="22"/>
        </w:rPr>
        <w:t>Modules 1-2 used SAST tools (Bandit, Semgrep) and SCA tools (Trivy, OSV) to analyse source code and dependency manifests without running the application. Module 3 adds DAST, which attacks the live running application. Together they form a defence-in-depth security pipeline: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Dimension</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SAST (Modules 1-2)</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DAST (Module 3)</w:t>
            </w:r>
          </w:p>
        </w:tc>
      </w:tr>
      <w:tr>
        <w:tc>
          <w:tcPr>
            <w:tcW w:type="dxa" w:w="312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Target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Source code files (.py, .js)</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Live running HTTP application</w:t>
            </w:r>
          </w:p>
        </w:tc>
      </w:tr>
      <w:tr>
        <w:tc>
          <w:tcPr>
            <w:tcW w:type="dxa" w:w="312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Approach</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Read and pattern-match code</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Send real attack payloads, observe responses</w:t>
            </w:r>
          </w:p>
        </w:tc>
      </w:tr>
      <w:tr>
        <w:tc>
          <w:tcPr>
            <w:tcW w:type="dxa" w:w="312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Strength</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Full code coverage; catches logic bugs</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Confirms runtime exploitability; zero false negatives</w:t>
            </w:r>
          </w:p>
        </w:tc>
      </w:tr>
      <w:tr>
        <w:tc>
          <w:tcPr>
            <w:tcW w:type="dxa" w:w="312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Weakness</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Cannot confirm runtime exploitability</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Misses dead-code paths; limited to reachable endpoints</w:t>
            </w:r>
          </w:p>
        </w:tc>
      </w:tr>
    </w:tbl>
    <w:p>
      <w:pPr>
        <w:spacing w:before="0" w:after="120"/>
      </w:pPr>
    </w:p>
    <w:p>
      <w:pPr>
        <w:spacing w:after="80"/>
      </w:pPr>
      <w:r>
        <w:rPr>
          <w:b w:val="0"/>
          <w:color w:val="404040"/>
          <w:sz w:val="22"/>
        </w:rPr>
        <w:t>The SQL Injection finding below is a perfect illustration: Semgrep flagged string-concatenated SQL in Module 2 as a pattern match. ZAP confirmed in Module 3 that the actual endpoint returns a raw SQLite error with the full query exposed — live runtime proof of exploitability.</w:t>
      </w:r>
    </w:p>
    <w:p>
      <w:r>
        <w:br w:type="page"/>
      </w:r>
    </w:p>
    <w:p>
      <w:pPr>
        <w:pStyle w:val="Heading1"/>
        <w:spacing w:before="240" w:after="80"/>
      </w:pPr>
      <w:r>
        <w:rPr>
          <w:color w:val="2E75B6"/>
        </w:rPr>
        <w:t>3. Detailed Findings</w:t>
      </w:r>
    </w:p>
    <w:p>
      <w:pPr>
        <w:spacing w:after="80"/>
      </w:pPr>
      <w:r>
        <w:rPr>
          <w:b w:val="0"/>
          <w:color w:val="404040"/>
          <w:sz w:val="22"/>
        </w:rPr>
        <w:t>All 10 alerts are documented below, ordered by severity. Each finding includes the attack payload ZAP used, the evidence returned by the server, and concrete remediation steps.</w:t>
      </w:r>
    </w:p>
    <w:p>
      <w:pPr>
        <w:spacing w:before="0" w:after="120"/>
      </w:pPr>
    </w:p>
    <w:p>
      <w:pPr>
        <w:pStyle w:val="Heading2"/>
        <w:spacing w:before="240" w:after="80"/>
      </w:pPr>
      <w:r>
        <w:rPr>
          <w:color w:val="C00000"/>
        </w:rPr>
        <w:t>3.1  SQL Injection (HIGH)</w:t>
      </w:r>
    </w:p>
    <w:tbl>
      <w:tblPr>
        <w:tblStyle w:val="TableGrid"/>
        <w:tblW w:type="auto" w:w="0"/>
        <w:tblLook w:firstColumn="1" w:firstRow="1" w:lastColumn="0" w:lastRow="0" w:noHBand="0" w:noVBand="1" w:val="04A0"/>
      </w:tblPr>
      <w:tblGrid>
        <w:gridCol w:w="9360"/>
      </w:tblGrid>
      <w:tr>
        <w:tc>
          <w:tcPr>
            <w:tcW w:type="dxa" w:w="9360"/>
            <w:shd w:val="clear" w:color="auto" w:fill="C00000"/>
            <w:tcMar>
              <w:top w:w="100" w:type="dxa"/>
              <w:bottom w:w="100" w:type="dxa"/>
              <w:left w:w="160" w:type="dxa"/>
              <w:right w:w="160" w:type="dxa"/>
            </w:tcMar>
          </w:tcPr>
          <w:p>
            <w:r>
              <w:rPr>
                <w:b/>
                <w:color w:val="FFFFFF"/>
                <w:sz w:val="24"/>
              </w:rPr>
              <w:t>[F-01] SQL Injection — Search Endpoint</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 / Risk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HIGH</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Low (automated tool — manual verification recommended)</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CVSS Category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CVSS 3.1 Base: 9.8 Critical (CWE-89)</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Affected URL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http://localhost:3000/rest/products/search?q=%27%28</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Parameter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q (query string)</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Attack Payload</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 (single-quote followed by open parenthesis)</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Evidence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HTTP 500 — SQLITE_ERROR: near "(": syntax error</w:t>
            </w:r>
          </w:p>
        </w:tc>
      </w:tr>
    </w:tbl>
    <w:p>
      <w:pPr>
        <w:spacing w:before="0" w:after="80"/>
      </w:pPr>
    </w:p>
    <w:p>
      <w:pPr>
        <w:spacing w:after="80"/>
      </w:pPr>
      <w:r>
        <w:rPr>
          <w:b/>
          <w:color w:val="2E75B6"/>
          <w:sz w:val="22"/>
        </w:rPr>
        <w:t>Description</w:t>
      </w:r>
    </w:p>
    <w:p>
      <w:pPr>
        <w:spacing w:after="80"/>
      </w:pPr>
      <w:r>
        <w:rPr>
          <w:b w:val="0"/>
          <w:color w:val="404040"/>
          <w:sz w:val="22"/>
        </w:rPr>
        <w:t>ZAP sent a malformed SQL fragment ('() as the search parameter. The server returned HTTP 500 and exposed the raw SQLite error message including the full un-parameterised query string: SELECT * FROM Products WHERE ((name LIKE '%'(%' OR description LIKE '%'(%') AND deletedAt IS NULL) ORDER BY name. This confirms the query is built via string concatenation — the classic precondition for SQL Injection.</w:t>
      </w:r>
    </w:p>
    <w:p>
      <w:pPr>
        <w:spacing w:after="80"/>
      </w:pPr>
      <w:r>
        <w:rPr>
          <w:b/>
          <w:color w:val="2E75B6"/>
          <w:sz w:val="22"/>
        </w:rPr>
        <w:t>Security Impact</w:t>
      </w:r>
    </w:p>
    <w:p>
      <w:pPr>
        <w:spacing w:after="80"/>
      </w:pPr>
      <w:r>
        <w:rPr>
          <w:b w:val="0"/>
          <w:color w:val="404040"/>
          <w:sz w:val="22"/>
        </w:rPr>
        <w:t>A successful SQL injection attack against this endpoint can: (1) dump the entire Products, Users, and Orders database; (2) bypass authentication by injecting OR 1=1; (3) on misconfigured SQLite builds, potentially read arbitrary files via ATTACH. Even at low confidence (automated tool), the exposed error proves the vulnerability exists — manual confirmation with a UNION-based payload would elevate confidence to HIGH.</w:t>
      </w:r>
    </w:p>
    <w:p>
      <w:pPr>
        <w:spacing w:after="80"/>
      </w:pPr>
      <w:r>
        <w:rPr>
          <w:b/>
          <w:color w:val="2E75B6"/>
          <w:sz w:val="22"/>
        </w:rPr>
        <w:t>Remediation</w:t>
      </w:r>
    </w:p>
    <w:p>
      <w:pPr>
        <w:spacing w:after="80"/>
      </w:pPr>
      <w:r>
        <w:rPr>
          <w:b w:val="0"/>
          <w:color w:val="404040"/>
          <w:sz w:val="22"/>
        </w:rPr>
        <w:t>Replace string concatenation with parameterised queries (prepared statements). In Sequelize (the ORM used by Juice Shop) use: Products.findAll({ where: { [Op.or]: [{ name: { [Op.like]: '%' + term + '%' } }] } }) — never template literals or string concatenation for SQL. Additionally, implement a WAF rule blocking raw SQL metacharacters in query parameters.</w:t>
      </w:r>
    </w:p>
    <w:p/>
    <w:p>
      <w:pPr>
        <w:shd w:val="clear" w:color="auto" w:fill="F2F2F2"/>
        <w:spacing w:before="80" w:after="80"/>
        <w:ind w:left="360"/>
      </w:pPr>
      <w:r>
        <w:rPr>
          <w:rFonts w:ascii="Courier New" w:hAnsi="Courier New"/>
          <w:sz w:val="18"/>
        </w:rPr>
        <w:t>Attack:   GET /rest/products/search?q='(</w:t>
        <w:br/>
        <w:t>Response: HTTP 500</w:t>
        <w:br/>
        <w:t>Body:     {"error":{"message":"SQLITE_ERROR: near \"(\": syntax error","sql":"SELECT * FROM Products WHERE ((name LIKE '%'(%' OR description LIKE '%'(%') AND deletedAt IS NULL) ORDER BY name"}}</w:t>
      </w:r>
    </w:p>
    <w:p>
      <w:pPr>
        <w:spacing w:before="0" w:after="120"/>
      </w:pPr>
    </w:p>
    <w:p>
      <w:pPr>
        <w:pStyle w:val="Heading2"/>
        <w:spacing w:before="240" w:after="80"/>
      </w:pPr>
      <w:r>
        <w:rPr>
          <w:color w:val="E26B0A"/>
        </w:rPr>
        <w:t>3.2  Content Security Policy Header Not Set (MEDIUM)</w:t>
      </w:r>
    </w:p>
    <w:tbl>
      <w:tblPr>
        <w:tblStyle w:val="TableGrid"/>
        <w:tblW w:type="auto" w:w="0"/>
        <w:tblLook w:firstColumn="1" w:firstRow="1" w:lastColumn="0" w:lastRow="0" w:noHBand="0" w:noVBand="1" w:val="04A0"/>
      </w:tblPr>
      <w:tblGrid>
        <w:gridCol w:w="9360"/>
      </w:tblGrid>
      <w:tr>
        <w:tc>
          <w:tcPr>
            <w:tcW w:type="dxa" w:w="9360"/>
            <w:shd w:val="clear" w:color="auto" w:fill="E26B0A"/>
            <w:tcMar>
              <w:top w:w="100" w:type="dxa"/>
              <w:bottom w:w="100" w:type="dxa"/>
              <w:left w:w="160" w:type="dxa"/>
              <w:right w:w="160" w:type="dxa"/>
            </w:tcMar>
          </w:tcPr>
          <w:p>
            <w:r>
              <w:rPr>
                <w:b/>
                <w:color w:val="FFFFFF"/>
                <w:sz w:val="24"/>
              </w:rPr>
              <w:t>[F-02] Content-Security-Policy Header Missing</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 / Risk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E26B0A"/>
                <w:sz w:val="20"/>
              </w:rPr>
              <w:t>MEDIUM</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High</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CVSS Category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CWE-693 — Protection Mechanism Failure</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Affected URL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http://localhost:3000/ (and 4 additional URLs)</w:t>
            </w:r>
          </w:p>
        </w:tc>
      </w:tr>
    </w:tbl>
    <w:p>
      <w:pPr>
        <w:spacing w:before="0" w:after="80"/>
      </w:pPr>
    </w:p>
    <w:p>
      <w:pPr>
        <w:spacing w:after="80"/>
      </w:pPr>
      <w:r>
        <w:rPr>
          <w:b/>
          <w:color w:val="2E75B6"/>
          <w:sz w:val="22"/>
        </w:rPr>
        <w:t>Description</w:t>
      </w:r>
    </w:p>
    <w:p>
      <w:pPr>
        <w:spacing w:after="80"/>
      </w:pPr>
      <w:r>
        <w:rPr>
          <w:b w:val="0"/>
          <w:color w:val="404040"/>
          <w:sz w:val="22"/>
        </w:rPr>
        <w:t>No Content-Security-Policy HTTP response header is set on the main application page or any of the discovered sub-paths. CSP is a browser-enforced whitelist that specifies which origins may execute scripts, load images, or make API calls. Without it, a successful XSS attack has maximum impact — the injected script runs with no browser restrictions, can exfiltrate cookies, call any external server, and install service workers.</w:t>
      </w:r>
    </w:p>
    <w:p>
      <w:pPr>
        <w:spacing w:after="80"/>
      </w:pPr>
      <w:r>
        <w:rPr>
          <w:b/>
          <w:color w:val="2E75B6"/>
          <w:sz w:val="22"/>
        </w:rPr>
        <w:t>Security Impact</w:t>
      </w:r>
    </w:p>
    <w:p>
      <w:pPr>
        <w:spacing w:after="80"/>
      </w:pPr>
      <w:r>
        <w:rPr>
          <w:b w:val="0"/>
          <w:color w:val="404040"/>
          <w:sz w:val="22"/>
        </w:rPr>
        <w:t>Absence of CSP elevates the severity of every stored and reflected XSS vulnerability in the application (Juice Shop has multiple). Attackers can exfiltrate session tokens, redirect users to phishing pages, or load cryptocurrency miners without any browser interference.</w:t>
      </w:r>
    </w:p>
    <w:p>
      <w:pPr>
        <w:spacing w:after="80"/>
      </w:pPr>
      <w:r>
        <w:rPr>
          <w:b/>
          <w:color w:val="2E75B6"/>
          <w:sz w:val="22"/>
        </w:rPr>
        <w:t>Remediation</w:t>
      </w:r>
    </w:p>
    <w:p>
      <w:pPr>
        <w:spacing w:after="80"/>
      </w:pPr>
      <w:r>
        <w:rPr>
          <w:b w:val="0"/>
          <w:color w:val="404040"/>
          <w:sz w:val="22"/>
        </w:rPr>
        <w:t>Add a strict CSP header via the Express middleware: app.use(helmet.contentSecurityPolicy({ directives: { defaultSrc: ["'self'"], scriptSrc: ["'self'"], objectSrc: ["'none'"], upgradeInsecureRequests: [] } })). Use report-only mode first: Content-Security-Policy-Report-Only to detect breakage before enforcing.</w:t>
      </w:r>
    </w:p>
    <w:p/>
    <w:p>
      <w:pPr>
        <w:spacing w:before="0" w:after="80"/>
      </w:pPr>
    </w:p>
    <w:p>
      <w:pPr>
        <w:pStyle w:val="Heading2"/>
        <w:spacing w:before="240" w:after="80"/>
      </w:pPr>
      <w:r>
        <w:rPr>
          <w:color w:val="E26B0A"/>
        </w:rPr>
        <w:t>3.3  Cross-Domain Misconfiguration — CORS Wildcard (MEDIUM)</w:t>
      </w:r>
    </w:p>
    <w:tbl>
      <w:tblPr>
        <w:tblStyle w:val="TableGrid"/>
        <w:tblW w:type="auto" w:w="0"/>
        <w:tblLook w:firstColumn="1" w:firstRow="1" w:lastColumn="0" w:lastRow="0" w:noHBand="0" w:noVBand="1" w:val="04A0"/>
      </w:tblPr>
      <w:tblGrid>
        <w:gridCol w:w="9360"/>
      </w:tblGrid>
      <w:tr>
        <w:tc>
          <w:tcPr>
            <w:tcW w:type="dxa" w:w="9360"/>
            <w:shd w:val="clear" w:color="auto" w:fill="E26B0A"/>
            <w:tcMar>
              <w:top w:w="100" w:type="dxa"/>
              <w:bottom w:w="100" w:type="dxa"/>
              <w:left w:w="160" w:type="dxa"/>
              <w:right w:w="160" w:type="dxa"/>
            </w:tcMar>
          </w:tcPr>
          <w:p>
            <w:r>
              <w:rPr>
                <w:b/>
                <w:color w:val="FFFFFF"/>
                <w:sz w:val="24"/>
              </w:rPr>
              <w:t>[F-03] Access-Control-Allow-Origin: * on All Responses</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 / Risk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E26B0A"/>
                <w:sz w:val="20"/>
              </w:rPr>
              <w:t>MEDIUM</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Medium</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CVSS Category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CWE-942 — Overly Permissive Cross-domain Whitelist</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Affected URL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http://localhost:3000/socket.io/socket.io.js (and multiple JS bundle URLs)</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Evidence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Access-Control-Allow-Origin: *</w:t>
            </w:r>
          </w:p>
        </w:tc>
      </w:tr>
    </w:tbl>
    <w:p>
      <w:pPr>
        <w:spacing w:before="0" w:after="80"/>
      </w:pPr>
    </w:p>
    <w:p>
      <w:pPr>
        <w:spacing w:after="80"/>
      </w:pPr>
      <w:r>
        <w:rPr>
          <w:b/>
          <w:color w:val="2E75B6"/>
          <w:sz w:val="22"/>
        </w:rPr>
        <w:t>Description</w:t>
      </w:r>
    </w:p>
    <w:p>
      <w:pPr>
        <w:spacing w:after="80"/>
      </w:pPr>
      <w:r>
        <w:rPr>
          <w:b w:val="0"/>
          <w:color w:val="404040"/>
          <w:sz w:val="22"/>
        </w:rPr>
        <w:t>All HTTP responses from Juice Shop include Access-Control-Allow-Origin: *, permitting any origin on the internet to make credentialled cross-origin requests to the API. This means a malicious page loaded in a victim's browser can call http://localhost:3000/api/Users, /api/Orders, etc., and read the responses — as long as the victim has a valid session cookie.</w:t>
      </w:r>
    </w:p>
    <w:p>
      <w:pPr>
        <w:spacing w:after="80"/>
      </w:pPr>
      <w:r>
        <w:rPr>
          <w:b/>
          <w:color w:val="2E75B6"/>
          <w:sz w:val="22"/>
        </w:rPr>
        <w:t>Security Impact</w:t>
      </w:r>
    </w:p>
    <w:p>
      <w:pPr>
        <w:spacing w:after="80"/>
      </w:pPr>
      <w:r>
        <w:rPr>
          <w:b w:val="0"/>
          <w:color w:val="404040"/>
          <w:sz w:val="22"/>
        </w:rPr>
        <w:t>Cross-Origin Resource Sharing (CORS) wildcard combined with the absence of SameSite=Strict on session cookies enables cross-site request forgery and data exfiltration. An attacker-controlled page can silently call Juice Shop endpoints on behalf of the logged-in victim and harvest their personal data and order history.</w:t>
      </w:r>
    </w:p>
    <w:p>
      <w:pPr>
        <w:spacing w:after="80"/>
      </w:pPr>
      <w:r>
        <w:rPr>
          <w:b/>
          <w:color w:val="2E75B6"/>
          <w:sz w:val="22"/>
        </w:rPr>
        <w:t>Remediation</w:t>
      </w:r>
    </w:p>
    <w:p>
      <w:pPr>
        <w:spacing w:after="80"/>
      </w:pPr>
      <w:r>
        <w:rPr>
          <w:b w:val="0"/>
          <w:color w:val="404040"/>
          <w:sz w:val="22"/>
        </w:rPr>
        <w:t>Replace the wildcard with an explicit allowlist of trusted origins: app.use(cors({ origin: ['https://yourdomain.com'] })). Never use * for authenticated API endpoints. Additionally set SameSite=Strict on session cookies to further limit cross-origin request impact.</w:t>
      </w:r>
    </w:p>
    <w:p/>
    <w:p>
      <w:pPr>
        <w:spacing w:before="0" w:after="80"/>
      </w:pPr>
    </w:p>
    <w:p>
      <w:pPr>
        <w:pStyle w:val="Heading2"/>
        <w:spacing w:before="240" w:after="80"/>
      </w:pPr>
      <w:r>
        <w:rPr>
          <w:color w:val="E26B0A"/>
        </w:rPr>
        <w:t>3.4  Missing Anti-Clickjacking Header (MEDIUM)</w:t>
      </w:r>
    </w:p>
    <w:tbl>
      <w:tblPr>
        <w:tblStyle w:val="TableGrid"/>
        <w:tblW w:type="auto" w:w="0"/>
        <w:tblLook w:firstColumn="1" w:firstRow="1" w:lastColumn="0" w:lastRow="0" w:noHBand="0" w:noVBand="1" w:val="04A0"/>
      </w:tblPr>
      <w:tblGrid>
        <w:gridCol w:w="9360"/>
      </w:tblGrid>
      <w:tr>
        <w:tc>
          <w:tcPr>
            <w:tcW w:type="dxa" w:w="9360"/>
            <w:shd w:val="clear" w:color="auto" w:fill="E26B0A"/>
            <w:tcMar>
              <w:top w:w="100" w:type="dxa"/>
              <w:bottom w:w="100" w:type="dxa"/>
              <w:left w:w="160" w:type="dxa"/>
              <w:right w:w="160" w:type="dxa"/>
            </w:tcMar>
          </w:tcPr>
          <w:p>
            <w:r>
              <w:rPr>
                <w:b/>
                <w:color w:val="FFFFFF"/>
                <w:sz w:val="24"/>
              </w:rPr>
              <w:t>[F-04] X-Frame-Options / frame-ancestors CSP Directive Missing</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 / Risk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E26B0A"/>
                <w:sz w:val="20"/>
              </w:rPr>
              <w:t>MEDIUM</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Medium</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CVSS Category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CWE-1021 — Improper Restriction of Rendered UI Layers</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Affected URL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http://localhost:3000/socket.io/?EIO=4&amp;transport=polling (POST endpoints)</w:t>
            </w:r>
          </w:p>
        </w:tc>
      </w:tr>
    </w:tbl>
    <w:p>
      <w:pPr>
        <w:spacing w:before="0" w:after="80"/>
      </w:pPr>
    </w:p>
    <w:p>
      <w:pPr>
        <w:spacing w:after="80"/>
      </w:pPr>
      <w:r>
        <w:rPr>
          <w:b/>
          <w:color w:val="2E75B6"/>
          <w:sz w:val="22"/>
        </w:rPr>
        <w:t>Description</w:t>
      </w:r>
    </w:p>
    <w:p>
      <w:pPr>
        <w:spacing w:after="80"/>
      </w:pPr>
      <w:r>
        <w:rPr>
          <w:b w:val="0"/>
          <w:color w:val="404040"/>
          <w:sz w:val="22"/>
        </w:rPr>
        <w:t>Neither the X-Frame-Options header nor a CSP frame-ancestors directive is set on application endpoints. Without this protection, any external website can embed Juice Shop in a hidden &lt;iframe&gt;, overlay a transparent layer, and trick users into clicking buttons on the real application — a clickjacking attack. Actions like 'Change Password', 'Delete Account', or 'Place Order' could be triggered without user awareness.</w:t>
      </w:r>
    </w:p>
    <w:p>
      <w:pPr>
        <w:spacing w:after="80"/>
      </w:pPr>
      <w:r>
        <w:rPr>
          <w:b/>
          <w:color w:val="2E75B6"/>
          <w:sz w:val="22"/>
        </w:rPr>
        <w:t>Security Impact</w:t>
      </w:r>
    </w:p>
    <w:p>
      <w:pPr>
        <w:spacing w:after="80"/>
      </w:pPr>
      <w:r>
        <w:rPr>
          <w:b w:val="0"/>
          <w:color w:val="404040"/>
          <w:sz w:val="22"/>
        </w:rPr>
        <w:t>Account takeover, unauthorised purchases, and account deletion via clickjacking.</w:t>
      </w:r>
    </w:p>
    <w:p>
      <w:pPr>
        <w:spacing w:after="80"/>
      </w:pPr>
      <w:r>
        <w:rPr>
          <w:b/>
          <w:color w:val="2E75B6"/>
          <w:sz w:val="22"/>
        </w:rPr>
        <w:t>Remediation</w:t>
      </w:r>
    </w:p>
    <w:p>
      <w:pPr>
        <w:spacing w:after="80"/>
      </w:pPr>
      <w:r>
        <w:rPr>
          <w:b w:val="0"/>
          <w:color w:val="404040"/>
          <w:sz w:val="22"/>
        </w:rPr>
        <w:t>Add X-Frame-Options: DENY (or SAMEORIGIN) globally: app.use(helmet.frameguard({ action: 'deny' })). Modern alternative: include frame-ancestors 'none' in the Content-Security-Policy header (fixing F-02 simultaneously addresses this finding).</w:t>
      </w:r>
    </w:p>
    <w:p/>
    <w:p>
      <w:pPr>
        <w:spacing w:before="0" w:after="80"/>
      </w:pPr>
    </w:p>
    <w:p>
      <w:pPr>
        <w:pStyle w:val="Heading2"/>
        <w:spacing w:before="240" w:after="80"/>
      </w:pPr>
      <w:r>
        <w:rPr>
          <w:color w:val="E26B0A"/>
        </w:rPr>
        <w:t>3.5  Session ID in URL (MEDIUM)</w:t>
      </w:r>
    </w:p>
    <w:tbl>
      <w:tblPr>
        <w:tblStyle w:val="TableGrid"/>
        <w:tblW w:type="auto" w:w="0"/>
        <w:tblLook w:firstColumn="1" w:firstRow="1" w:lastColumn="0" w:lastRow="0" w:noHBand="0" w:noVBand="1" w:val="04A0"/>
      </w:tblPr>
      <w:tblGrid>
        <w:gridCol w:w="9360"/>
      </w:tblGrid>
      <w:tr>
        <w:tc>
          <w:tcPr>
            <w:tcW w:type="dxa" w:w="9360"/>
            <w:shd w:val="clear" w:color="auto" w:fill="E26B0A"/>
            <w:tcMar>
              <w:top w:w="100" w:type="dxa"/>
              <w:bottom w:w="100" w:type="dxa"/>
              <w:left w:w="160" w:type="dxa"/>
              <w:right w:w="160" w:type="dxa"/>
            </w:tcMar>
          </w:tcPr>
          <w:p>
            <w:r>
              <w:rPr>
                <w:b/>
                <w:color w:val="FFFFFF"/>
                <w:sz w:val="24"/>
              </w:rPr>
              <w:t>[F-05] Socket.io Session Identifier Exposed in URL Parameters</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 / Risk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E26B0A"/>
                <w:sz w:val="20"/>
              </w:rPr>
              <w:t>MEDIUM</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Medium</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CVSS Category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CWE-598 — Information Exposure Through Query Strings in GET Request</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Affected URL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http://localhost:3000/socket.io/?EIO=4&amp;transport=polling&amp;sid=&lt;session_id&gt;</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Parameter</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sid (socket.io session identifier)</w:t>
            </w:r>
          </w:p>
        </w:tc>
      </w:tr>
    </w:tbl>
    <w:p>
      <w:pPr>
        <w:spacing w:before="0" w:after="80"/>
      </w:pPr>
    </w:p>
    <w:p>
      <w:pPr>
        <w:spacing w:after="80"/>
      </w:pPr>
      <w:r>
        <w:rPr>
          <w:b/>
          <w:color w:val="2E75B6"/>
          <w:sz w:val="22"/>
        </w:rPr>
        <w:t>Description</w:t>
      </w:r>
    </w:p>
    <w:p>
      <w:pPr>
        <w:spacing w:after="80"/>
      </w:pPr>
      <w:r>
        <w:rPr>
          <w:b w:val="0"/>
          <w:color w:val="404040"/>
          <w:sz w:val="22"/>
        </w:rPr>
        <w:t>Socket.io session identifiers are appended to URL query strings for polling transport. Session IDs in URLs are problematic because: (1) they appear in server access logs in plaintext; (2) they are transmitted in the HTTP Referer header to third-party domains; (3) they may be cached in browser history and proxies. An attacker who obtains a session ID from any of these channels can hijack the WebSocket session.</w:t>
      </w:r>
    </w:p>
    <w:p>
      <w:pPr>
        <w:spacing w:after="80"/>
      </w:pPr>
      <w:r>
        <w:rPr>
          <w:b/>
          <w:color w:val="2E75B6"/>
          <w:sz w:val="22"/>
        </w:rPr>
        <w:t>Security Impact</w:t>
      </w:r>
    </w:p>
    <w:p>
      <w:pPr>
        <w:spacing w:after="80"/>
      </w:pPr>
      <w:r>
        <w:rPr>
          <w:b w:val="0"/>
          <w:color w:val="404040"/>
          <w:sz w:val="22"/>
        </w:rPr>
        <w:t>Session hijacking via log exfiltration, Referer header leakage, or proxy cache inspection.</w:t>
      </w:r>
    </w:p>
    <w:p>
      <w:pPr>
        <w:spacing w:after="80"/>
      </w:pPr>
      <w:r>
        <w:rPr>
          <w:b/>
          <w:color w:val="2E75B6"/>
          <w:sz w:val="22"/>
        </w:rPr>
        <w:t>Remediation</w:t>
      </w:r>
    </w:p>
    <w:p>
      <w:pPr>
        <w:spacing w:after="80"/>
      </w:pPr>
      <w:r>
        <w:rPr>
          <w:b w:val="0"/>
          <w:color w:val="404040"/>
          <w:sz w:val="22"/>
        </w:rPr>
        <w:t>Prefer WebSocket transport over long-polling to keep session IDs out of URLs. If polling must be supported, ensure session IDs are rotated frequently and that all log files and reverse proxy configurations are access-controlled. Set Referrer-Policy: no-referrer to prevent Referer leakage.</w:t>
      </w:r>
    </w:p>
    <w:p/>
    <w:p>
      <w:pPr>
        <w:spacing w:before="0" w:after="80"/>
      </w:pPr>
    </w:p>
    <w:p>
      <w:pPr>
        <w:pStyle w:val="Heading2"/>
        <w:spacing w:before="240" w:after="80"/>
      </w:pPr>
      <w:r>
        <w:rPr>
          <w:color w:val="404040"/>
        </w:rPr>
        <w:t>3.6  Private IP Disclosure (LOW)</w:t>
      </w:r>
    </w:p>
    <w:tbl>
      <w:tblPr>
        <w:tblStyle w:val="TableGrid"/>
        <w:tblW w:type="auto" w:w="0"/>
        <w:tblLook w:firstColumn="1" w:firstRow="1" w:lastColumn="0" w:lastRow="0" w:noHBand="0" w:noVBand="1" w:val="04A0"/>
      </w:tblPr>
      <w:tblGrid>
        <w:gridCol w:w="9360"/>
      </w:tblGrid>
      <w:tr>
        <w:tc>
          <w:tcPr>
            <w:tcW w:type="dxa" w:w="9360"/>
            <w:shd w:val="clear" w:color="auto" w:fill="595959"/>
            <w:tcMar>
              <w:top w:w="100" w:type="dxa"/>
              <w:bottom w:w="100" w:type="dxa"/>
              <w:left w:w="160" w:type="dxa"/>
              <w:right w:w="160" w:type="dxa"/>
            </w:tcMar>
          </w:tcPr>
          <w:p>
            <w:r>
              <w:rPr>
                <w:b/>
                <w:color w:val="FFFFFF"/>
                <w:sz w:val="24"/>
              </w:rPr>
              <w:t>[F-06] Internal Server Path / Configuration Endpoint Accessible Unauthenticated</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 / Risk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595959"/>
                <w:sz w:val="20"/>
              </w:rPr>
              <w:t>LOW</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Medium</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CVSS Category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CWE-200 — Exposure of Sensitive Information</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Affected URL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http://localhost:3000/rest/admin/application-configuration</w:t>
            </w:r>
          </w:p>
        </w:tc>
      </w:tr>
    </w:tbl>
    <w:p>
      <w:pPr>
        <w:spacing w:before="0" w:after="80"/>
      </w:pPr>
    </w:p>
    <w:p>
      <w:pPr>
        <w:spacing w:after="80"/>
      </w:pPr>
      <w:r>
        <w:rPr>
          <w:b/>
          <w:color w:val="2E75B6"/>
          <w:sz w:val="22"/>
        </w:rPr>
        <w:t>Description</w:t>
      </w:r>
    </w:p>
    <w:p>
      <w:pPr>
        <w:spacing w:after="80"/>
      </w:pPr>
      <w:r>
        <w:rPr>
          <w:b w:val="0"/>
          <w:color w:val="404040"/>
          <w:sz w:val="22"/>
        </w:rPr>
        <w:t>The /rest/admin/application-configuration endpoint returns application configuration data without requiring authentication. The response includes internal path references and server configuration details that an attacker can use to map the application's internal architecture — reducing the effort required to target subsequent attacks.</w:t>
      </w:r>
    </w:p>
    <w:p>
      <w:pPr>
        <w:spacing w:after="80"/>
      </w:pPr>
      <w:r>
        <w:rPr>
          <w:b/>
          <w:color w:val="2E75B6"/>
          <w:sz w:val="22"/>
        </w:rPr>
        <w:t>Security Impact</w:t>
      </w:r>
    </w:p>
    <w:p>
      <w:pPr>
        <w:spacing w:after="80"/>
      </w:pPr>
      <w:r>
        <w:rPr>
          <w:b w:val="0"/>
          <w:color w:val="404040"/>
          <w:sz w:val="22"/>
        </w:rPr>
        <w:t>Information disclosure reduces attacker effort for subsequent steps. Combined with the SQL injection finding, an attacker now has both the means (SQLi) and the target knowledge (internal paths, DB location) to mount a more targeted attack.</w:t>
      </w:r>
    </w:p>
    <w:p>
      <w:pPr>
        <w:spacing w:after="80"/>
      </w:pPr>
      <w:r>
        <w:rPr>
          <w:b/>
          <w:color w:val="2E75B6"/>
          <w:sz w:val="22"/>
        </w:rPr>
        <w:t>Remediation</w:t>
      </w:r>
    </w:p>
    <w:p>
      <w:pPr>
        <w:spacing w:after="80"/>
      </w:pPr>
      <w:r>
        <w:rPr>
          <w:b w:val="0"/>
          <w:color w:val="404040"/>
          <w:sz w:val="22"/>
        </w:rPr>
        <w:t>Protect all /rest/admin/* endpoints with middleware that validates the requesting user holds an admin role before returning any response. Return HTTP 403 for unauthenticated requests.</w:t>
      </w:r>
    </w:p>
    <w:p/>
    <w:p>
      <w:pPr>
        <w:spacing w:before="0" w:after="80"/>
      </w:pPr>
    </w:p>
    <w:p>
      <w:pPr>
        <w:pStyle w:val="Heading2"/>
        <w:spacing w:before="240" w:after="80"/>
      </w:pPr>
      <w:r>
        <w:rPr>
          <w:color w:val="404040"/>
        </w:rPr>
        <w:t>3.7  Timestamp Disclosure — Unix (LOW)</w:t>
      </w:r>
    </w:p>
    <w:tbl>
      <w:tblPr>
        <w:tblStyle w:val="TableGrid"/>
        <w:tblW w:type="auto" w:w="0"/>
        <w:tblLook w:firstColumn="1" w:firstRow="1" w:lastColumn="0" w:lastRow="0" w:noHBand="0" w:noVBand="1" w:val="04A0"/>
      </w:tblPr>
      <w:tblGrid>
        <w:gridCol w:w="9360"/>
      </w:tblGrid>
      <w:tr>
        <w:tc>
          <w:tcPr>
            <w:tcW w:type="dxa" w:w="9360"/>
            <w:shd w:val="clear" w:color="auto" w:fill="595959"/>
            <w:tcMar>
              <w:top w:w="100" w:type="dxa"/>
              <w:bottom w:w="100" w:type="dxa"/>
              <w:left w:w="160" w:type="dxa"/>
              <w:right w:w="160" w:type="dxa"/>
            </w:tcMar>
          </w:tcPr>
          <w:p>
            <w:r>
              <w:rPr>
                <w:b/>
                <w:color w:val="FFFFFF"/>
                <w:sz w:val="24"/>
              </w:rPr>
              <w:t>[F-07] Unix Timestamps Exposed in HTTP Responses</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 / Risk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595959"/>
                <w:sz w:val="20"/>
              </w:rPr>
              <w:t>LOW</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Low</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CVSS Category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CWE-200</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Affected URL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Multiple pages (main application, REST endpoints)</w:t>
            </w:r>
          </w:p>
        </w:tc>
      </w:tr>
    </w:tbl>
    <w:p>
      <w:pPr>
        <w:spacing w:before="0" w:after="80"/>
      </w:pPr>
    </w:p>
    <w:p>
      <w:pPr>
        <w:spacing w:after="80"/>
      </w:pPr>
      <w:r>
        <w:rPr>
          <w:b/>
          <w:color w:val="2E75B6"/>
          <w:sz w:val="22"/>
        </w:rPr>
        <w:t>Description</w:t>
      </w:r>
    </w:p>
    <w:p>
      <w:pPr>
        <w:spacing w:after="80"/>
      </w:pPr>
      <w:r>
        <w:rPr>
          <w:b w:val="0"/>
          <w:color w:val="404040"/>
          <w:sz w:val="22"/>
        </w:rPr>
        <w:t>Unix epoch timestamps are present in HTTP response bodies. While low-severity on their own, precise timestamps help attackers: (1) confirm the server time zone and clock offset, useful for JWT forgery attacks where timestamps are validated; (2) correlate events across log sources.</w:t>
      </w:r>
    </w:p>
    <w:p>
      <w:pPr>
        <w:spacing w:after="80"/>
      </w:pPr>
      <w:r>
        <w:rPr>
          <w:b/>
          <w:color w:val="2E75B6"/>
          <w:sz w:val="22"/>
        </w:rPr>
        <w:t>Security Impact</w:t>
      </w:r>
    </w:p>
    <w:p>
      <w:pPr>
        <w:spacing w:after="80"/>
      </w:pPr>
      <w:r>
        <w:rPr>
          <w:b w:val="0"/>
          <w:color w:val="404040"/>
          <w:sz w:val="22"/>
        </w:rPr>
        <w:t>Minor information disclosure; useful for JWT timing attacks and log correlation.</w:t>
      </w:r>
    </w:p>
    <w:p>
      <w:pPr>
        <w:spacing w:after="80"/>
      </w:pPr>
      <w:r>
        <w:rPr>
          <w:b/>
          <w:color w:val="2E75B6"/>
          <w:sz w:val="22"/>
        </w:rPr>
        <w:t>Remediation</w:t>
      </w:r>
    </w:p>
    <w:p>
      <w:pPr>
        <w:spacing w:after="80"/>
      </w:pPr>
      <w:r>
        <w:rPr>
          <w:b w:val="0"/>
          <w:color w:val="404040"/>
          <w:sz w:val="22"/>
        </w:rPr>
        <w:t>Sanitise API responses to return only data the client legitimately needs. Remove internal metadata timestamps from public-facing responses. Use ISO 8601 format instead of Unix epoch to reduce precision.</w:t>
      </w:r>
    </w:p>
    <w:p/>
    <w:p>
      <w:pPr>
        <w:spacing w:before="0" w:after="80"/>
      </w:pPr>
    </w:p>
    <w:p>
      <w:pPr>
        <w:pStyle w:val="Heading2"/>
        <w:spacing w:before="240" w:after="80"/>
      </w:pPr>
      <w:r>
        <w:rPr>
          <w:color w:val="404040"/>
        </w:rPr>
        <w:t>3.8  X-Content-Type-Options Header Missing (LOW)</w:t>
      </w:r>
    </w:p>
    <w:tbl>
      <w:tblPr>
        <w:tblStyle w:val="TableGrid"/>
        <w:tblW w:type="auto" w:w="0"/>
        <w:tblLook w:firstColumn="1" w:firstRow="1" w:lastColumn="0" w:lastRow="0" w:noHBand="0" w:noVBand="1" w:val="04A0"/>
      </w:tblPr>
      <w:tblGrid>
        <w:gridCol w:w="9360"/>
      </w:tblGrid>
      <w:tr>
        <w:tc>
          <w:tcPr>
            <w:tcW w:type="dxa" w:w="9360"/>
            <w:shd w:val="clear" w:color="auto" w:fill="595959"/>
            <w:tcMar>
              <w:top w:w="100" w:type="dxa"/>
              <w:bottom w:w="100" w:type="dxa"/>
              <w:left w:w="160" w:type="dxa"/>
              <w:right w:w="160" w:type="dxa"/>
            </w:tcMar>
          </w:tcPr>
          <w:p>
            <w:r>
              <w:rPr>
                <w:b/>
                <w:color w:val="FFFFFF"/>
                <w:sz w:val="24"/>
              </w:rPr>
              <w:t>[F-08] MIME-Type Sniffing Not Disabled</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 / Risk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595959"/>
                <w:sz w:val="20"/>
              </w:rPr>
              <w:t>LOW</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Medium</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CVSS Category</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CWE-693</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Affected URL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http://localhost:3000/socket.io/socket.io.js (and other static assets)</w:t>
            </w:r>
          </w:p>
        </w:tc>
      </w:tr>
    </w:tbl>
    <w:p>
      <w:pPr>
        <w:spacing w:before="0" w:after="80"/>
      </w:pPr>
    </w:p>
    <w:p>
      <w:pPr>
        <w:spacing w:after="80"/>
      </w:pPr>
      <w:r>
        <w:rPr>
          <w:b/>
          <w:color w:val="2E75B6"/>
          <w:sz w:val="22"/>
        </w:rPr>
        <w:t>Description</w:t>
      </w:r>
    </w:p>
    <w:p>
      <w:pPr>
        <w:spacing w:after="80"/>
      </w:pPr>
      <w:r>
        <w:rPr>
          <w:b w:val="0"/>
          <w:color w:val="404040"/>
          <w:sz w:val="22"/>
        </w:rPr>
        <w:t>The X-Content-Type-Options: nosniff header is absent on several responses. Without this header, older browsers may 'sniff' the actual content of a response and interpret it as a different MIME type than declared — a technique exploited in MIME-confusion attacks where a server returns a file declared as text/plain but the browser executes it as text/html or application/javascript.</w:t>
      </w:r>
    </w:p>
    <w:p>
      <w:pPr>
        <w:spacing w:after="80"/>
      </w:pPr>
      <w:r>
        <w:rPr>
          <w:b/>
          <w:color w:val="2E75B6"/>
          <w:sz w:val="22"/>
        </w:rPr>
        <w:t>Security Impact</w:t>
      </w:r>
    </w:p>
    <w:p>
      <w:pPr>
        <w:spacing w:after="80"/>
      </w:pPr>
      <w:r>
        <w:rPr>
          <w:b w:val="0"/>
          <w:color w:val="404040"/>
          <w:sz w:val="22"/>
        </w:rPr>
        <w:t>MIME-confusion attacks enabling XSS in browsers that perform content sniffing.</w:t>
      </w:r>
    </w:p>
    <w:p>
      <w:pPr>
        <w:spacing w:after="80"/>
      </w:pPr>
      <w:r>
        <w:rPr>
          <w:b/>
          <w:color w:val="2E75B6"/>
          <w:sz w:val="22"/>
        </w:rPr>
        <w:t>Remediation</w:t>
      </w:r>
    </w:p>
    <w:p>
      <w:pPr>
        <w:spacing w:after="80"/>
      </w:pPr>
      <w:r>
        <w:rPr>
          <w:b w:val="0"/>
          <w:color w:val="404040"/>
          <w:sz w:val="22"/>
        </w:rPr>
        <w:t>Add globally with Helmet: app.use(helmet.noSniff()). This adds X-Content-Type-Options: nosniff to all responses in a single line.</w:t>
      </w:r>
    </w:p>
    <w:p/>
    <w:p>
      <w:pPr>
        <w:spacing w:before="0" w:after="80"/>
      </w:pPr>
    </w:p>
    <w:p>
      <w:pPr>
        <w:pStyle w:val="Heading2"/>
        <w:spacing w:before="240" w:after="80"/>
      </w:pPr>
      <w:r>
        <w:rPr>
          <w:color w:val="808080"/>
        </w:rPr>
        <w:t>3.9  Modern Web Application — Stack Trace Disclosure (INFORMATIONAL)</w:t>
      </w:r>
    </w:p>
    <w:tbl>
      <w:tblPr>
        <w:tblStyle w:val="TableGrid"/>
        <w:tblW w:type="auto" w:w="0"/>
        <w:tblLook w:firstColumn="1" w:firstRow="1" w:lastColumn="0" w:lastRow="0" w:noHBand="0" w:noVBand="1" w:val="04A0"/>
      </w:tblPr>
      <w:tblGrid>
        <w:gridCol w:w="9360"/>
      </w:tblGrid>
      <w:tr>
        <w:tc>
          <w:tcPr>
            <w:tcW w:type="dxa" w:w="9360"/>
            <w:shd w:val="clear" w:color="auto" w:fill="808080"/>
            <w:tcMar>
              <w:top w:w="100" w:type="dxa"/>
              <w:bottom w:w="100" w:type="dxa"/>
              <w:left w:w="160" w:type="dxa"/>
              <w:right w:w="160" w:type="dxa"/>
            </w:tcMar>
          </w:tcPr>
          <w:p>
            <w:r>
              <w:rPr>
                <w:b/>
                <w:color w:val="FFFFFF"/>
                <w:sz w:val="24"/>
              </w:rPr>
              <w:t>[F-09] Internal File Paths Exposed in Error Responses</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 / Risk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808080"/>
                <w:sz w:val="20"/>
              </w:rPr>
              <w:t>INFORMATIONAL</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Medium</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Affected URL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Multiple error responses</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Evidence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juice-shop/build/routes/fileServer.js:59:18 · juice-shop/node_modules/express/lib/router/index.js:328:13</w:t>
            </w:r>
          </w:p>
        </w:tc>
      </w:tr>
    </w:tbl>
    <w:p>
      <w:pPr>
        <w:spacing w:before="0" w:after="80"/>
      </w:pPr>
    </w:p>
    <w:p>
      <w:pPr>
        <w:spacing w:after="80"/>
      </w:pPr>
      <w:r>
        <w:rPr>
          <w:b/>
          <w:color w:val="2E75B6"/>
          <w:sz w:val="22"/>
        </w:rPr>
        <w:t>Description</w:t>
      </w:r>
    </w:p>
    <w:p>
      <w:pPr>
        <w:spacing w:after="80"/>
      </w:pPr>
      <w:r>
        <w:rPr>
          <w:b w:val="0"/>
          <w:color w:val="404040"/>
          <w:sz w:val="22"/>
        </w:rPr>
        <w:t>Error responses include full server-side file paths and line numbers from the Node.js stack trace. While ZAP classifies this as informational, it is high-value reconnaissance data: the attacker learns the exact Express router file structure, the build output directory, and the line numbers of route handlers — dramatically reducing the effort required to find additional injection points.</w:t>
      </w:r>
    </w:p>
    <w:p>
      <w:pPr>
        <w:spacing w:after="80"/>
      </w:pPr>
      <w:r>
        <w:rPr>
          <w:b/>
          <w:color w:val="2E75B6"/>
          <w:sz w:val="22"/>
        </w:rPr>
        <w:t>Security Impact</w:t>
      </w:r>
    </w:p>
    <w:p>
      <w:pPr>
        <w:spacing w:after="80"/>
      </w:pPr>
      <w:r>
        <w:rPr>
          <w:b w:val="0"/>
          <w:color w:val="404040"/>
          <w:sz w:val="22"/>
        </w:rPr>
        <w:t>Stack traces provide a detailed map of internal application structure. Combined with F-01 (SQL Injection), an attacker can target specific route handlers identified from the stack trace.</w:t>
      </w:r>
    </w:p>
    <w:p>
      <w:pPr>
        <w:spacing w:after="80"/>
      </w:pPr>
      <w:r>
        <w:rPr>
          <w:b/>
          <w:color w:val="2E75B6"/>
          <w:sz w:val="22"/>
        </w:rPr>
        <w:t>Remediation</w:t>
      </w:r>
    </w:p>
    <w:p>
      <w:pPr>
        <w:spacing w:after="80"/>
      </w:pPr>
      <w:r>
        <w:rPr>
          <w:b w:val="0"/>
          <w:color w:val="404040"/>
          <w:sz w:val="22"/>
        </w:rPr>
        <w:t>Set NODE_ENV=production to suppress Express error stack traces. Implement a custom error handler: app.use((err, req, res, next) =&gt; { res.status(500).json({ error: 'Internal server error' }); }). Never return stack traces in production.</w:t>
      </w:r>
    </w:p>
    <w:p/>
    <w:p>
      <w:pPr>
        <w:spacing w:before="0" w:after="80"/>
      </w:pPr>
    </w:p>
    <w:p>
      <w:pPr>
        <w:pStyle w:val="Heading2"/>
        <w:spacing w:before="240" w:after="80"/>
      </w:pPr>
      <w:r>
        <w:rPr>
          <w:color w:val="808080"/>
        </w:rPr>
        <w:t>3.10  User Agent Fuzzer (INFORMATIONAL)</w:t>
      </w:r>
    </w:p>
    <w:tbl>
      <w:tblPr>
        <w:tblStyle w:val="TableGrid"/>
        <w:tblW w:type="auto" w:w="0"/>
        <w:tblLook w:firstColumn="1" w:firstRow="1" w:lastColumn="0" w:lastRow="0" w:noHBand="0" w:noVBand="1" w:val="04A0"/>
      </w:tblPr>
      <w:tblGrid>
        <w:gridCol w:w="9360"/>
      </w:tblGrid>
      <w:tr>
        <w:tc>
          <w:tcPr>
            <w:tcW w:type="dxa" w:w="9360"/>
            <w:shd w:val="clear" w:color="auto" w:fill="808080"/>
            <w:tcMar>
              <w:top w:w="100" w:type="dxa"/>
              <w:bottom w:w="100" w:type="dxa"/>
              <w:left w:w="160" w:type="dxa"/>
              <w:right w:w="160" w:type="dxa"/>
            </w:tcMar>
          </w:tcPr>
          <w:p>
            <w:r>
              <w:rPr>
                <w:b/>
                <w:color w:val="FFFFFF"/>
                <w:sz w:val="24"/>
              </w:rPr>
              <w:t>[F-10] Different Responses for Different User-Agent Strings</w:t>
            </w:r>
          </w:p>
        </w:tc>
      </w:tr>
    </w:tbl>
    <w:tbl>
      <w:tblPr>
        <w:tblStyle w:val="TableGrid"/>
        <w:tblW w:type="auto" w:w="0"/>
        <w:tblLook w:firstColumn="1" w:firstRow="1" w:lastColumn="0" w:lastRow="0" w:noHBand="0" w:noVBand="1" w:val="04A0"/>
      </w:tblPr>
      <w:tblGrid>
        <w:gridCol w:w="4680"/>
        <w:gridCol w:w="4680"/>
      </w:tblGrid>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Severity / Risk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808080"/>
                <w:sz w:val="20"/>
              </w:rPr>
              <w:t>INFORMATIONAL</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Confidence</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Medium</w:t>
            </w:r>
          </w:p>
        </w:tc>
      </w:tr>
      <w:tr>
        <w:tc>
          <w:tcPr>
            <w:tcW w:type="dxa" w:w="468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Affected URL</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Multiple endpoints</w:t>
            </w:r>
          </w:p>
        </w:tc>
      </w:tr>
    </w:tbl>
    <w:p>
      <w:pPr>
        <w:spacing w:before="0" w:after="80"/>
      </w:pPr>
    </w:p>
    <w:p>
      <w:pPr>
        <w:spacing w:after="80"/>
      </w:pPr>
      <w:r>
        <w:rPr>
          <w:b/>
          <w:color w:val="2E75B6"/>
          <w:sz w:val="22"/>
        </w:rPr>
        <w:t>Description</w:t>
      </w:r>
    </w:p>
    <w:p>
      <w:pPr>
        <w:spacing w:after="80"/>
      </w:pPr>
      <w:r>
        <w:rPr>
          <w:b w:val="0"/>
          <w:color w:val="404040"/>
          <w:sz w:val="22"/>
        </w:rPr>
        <w:t>ZAP's User Agent Fuzzer sent requests with multiple different User-Agent strings and detected variations in the responses. The application responds differently depending on the browser identity. This can indicate: (1) bot-detection logic that attackers can trivially bypass by spoofing a legitimate browser UA; (2) serving different content to crawlers vs browsers, potentially hiding security controls from automated scanners.</w:t>
      </w:r>
    </w:p>
    <w:p>
      <w:pPr>
        <w:spacing w:after="80"/>
      </w:pPr>
      <w:r>
        <w:rPr>
          <w:b/>
          <w:color w:val="2E75B6"/>
          <w:sz w:val="22"/>
        </w:rPr>
        <w:t>Remediation</w:t>
      </w:r>
    </w:p>
    <w:p>
      <w:pPr>
        <w:spacing w:after="80"/>
      </w:pPr>
      <w:r>
        <w:rPr>
          <w:b w:val="0"/>
          <w:color w:val="404040"/>
          <w:sz w:val="22"/>
        </w:rPr>
        <w:t>Do not make security decisions based on the User-Agent string. Bot detection should be implemented at the application logic and rate-limiting layer, not header inspection. Serve identical content regardless of user agent to ensure security scanners see the same attack surface as real browsers.</w:t>
      </w:r>
    </w:p>
    <w:p/>
    <w:p>
      <w:r>
        <w:br w:type="page"/>
      </w:r>
    </w:p>
    <w:p>
      <w:pPr>
        <w:pStyle w:val="Heading1"/>
        <w:spacing w:before="240" w:after="80"/>
      </w:pPr>
      <w:r>
        <w:rPr>
          <w:color w:val="2E75B6"/>
        </w:rPr>
        <w:t>4. Findings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ID</w:t>
            </w:r>
          </w:p>
        </w:tc>
        <w:tc>
          <w:tcPr>
            <w:tcW w:type="dxa" w:w="1872"/>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Finding</w:t>
            </w:r>
          </w:p>
        </w:tc>
        <w:tc>
          <w:tcPr>
            <w:tcW w:type="dxa" w:w="1872"/>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Severity</w:t>
            </w:r>
          </w:p>
        </w:tc>
        <w:tc>
          <w:tcPr>
            <w:tcW w:type="dxa" w:w="1872"/>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Confidence</w:t>
            </w:r>
          </w:p>
        </w:tc>
        <w:tc>
          <w:tcPr>
            <w:tcW w:type="dxa" w:w="1872"/>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Status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F-01</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SQL Injection — Search Endpoint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b/>
                <w:color w:val="C00000"/>
                <w:sz w:val="20"/>
              </w:rPr>
              <w:t>HIGH</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Low</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Open</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F-02</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Content-Security-Policy Header Missing</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b/>
                <w:color w:val="E26B0A"/>
                <w:sz w:val="20"/>
              </w:rPr>
              <w:t>MEDIUM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High</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Open</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F-03</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CORS Wildcard Misconfiguration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b/>
                <w:color w:val="E26B0A"/>
                <w:sz w:val="20"/>
              </w:rPr>
              <w:t>MEDIUM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Medium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Open</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F-04</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Missing Anti-Clickjacking Header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b/>
                <w:color w:val="E26B0A"/>
                <w:sz w:val="20"/>
              </w:rPr>
              <w:t>MEDIUM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Medium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Open</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F-05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Session ID in URL (Socket.io)</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b/>
                <w:color w:val="E26B0A"/>
                <w:sz w:val="20"/>
              </w:rPr>
              <w:t>MEDIUM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Medium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Open</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F-06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Private IP / Admin Config Disclosure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b/>
                <w:color w:val="595959"/>
                <w:sz w:val="20"/>
              </w:rPr>
              <w:t>LOW</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Medium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Open</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F-07</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Unix Timestamp Disclosure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b/>
                <w:color w:val="595959"/>
                <w:sz w:val="20"/>
              </w:rPr>
              <w:t>LOW</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Low</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Open</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F-08</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X-Content-Type-Options Missing</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b/>
                <w:color w:val="595959"/>
                <w:sz w:val="20"/>
              </w:rPr>
              <w:t>LOW</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Medium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Open</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F-09</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Stack Trace / Internal Path Disclosure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b/>
                <w:color w:val="808080"/>
                <w:sz w:val="20"/>
              </w:rPr>
              <w:t>INFO</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Medium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Open</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F-10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User Agent Fuzzer — Inconsistent Responses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b/>
                <w:color w:val="808080"/>
                <w:sz w:val="20"/>
              </w:rPr>
              <w:t>INFO</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Medium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5F5F5"/>
          </w:tcPr>
          <w:p>
            <w:r>
              <w:rPr>
                <w:sz w:val="20"/>
              </w:rPr>
              <w:t>Open</w:t>
            </w:r>
          </w:p>
        </w:tc>
      </w:tr>
    </w:tbl>
    <w:p>
      <w:pPr>
        <w:spacing w:before="0" w:after="200"/>
      </w:pPr>
    </w:p>
    <w:p>
      <w:pPr>
        <w:pStyle w:val="Heading1"/>
        <w:spacing w:before="240" w:after="80"/>
      </w:pPr>
      <w:r>
        <w:rPr>
          <w:color w:val="2E75B6"/>
        </w:rPr>
        <w:t>5. Combined SAST + SCA + DAST Coverage</w:t>
      </w:r>
    </w:p>
    <w:p>
      <w:pPr>
        <w:spacing w:after="80"/>
      </w:pPr>
      <w:r>
        <w:rPr>
          <w:b w:val="0"/>
          <w:color w:val="404040"/>
          <w:sz w:val="22"/>
        </w:rPr>
        <w:t>Having completed three modules, the lab now has coverage across all three primary AppSec testing categories. The table below shows how all four tools contribute complementary visibility into the same vulnerabilities: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Vulnerability</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SAST (Semgrep/Bandit)</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SCA (Trivy/OSV)</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DAST (ZAP)</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SQL Injection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Pattern match: string</w:t>
              <w:br/>
              <w:t>concatenation in query()</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CONFIRMED: HTTP 500 +</w:t>
              <w:br/>
              <w:t>SQLITE_ERROR returned</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XSS / CSP</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Semgrep: innerHTML</w:t>
              <w:br/>
              <w:t>assignment, no sanitise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CSP header absent;</w:t>
              <w:br/>
              <w:t>maximum XSS impact</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Vulnerable Libraries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Trivy: 136 CVEs;</w:t>
              <w:br/>
              <w:t>OSV: 50 CVEs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Command Injection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Bandit: subprocess</w:t>
              <w:br/>
              <w:t>shell=True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Not triggered in scan</w:t>
              <w:br/>
              <w:t>(no shell endpoints found)</w:t>
            </w:r>
          </w:p>
        </w:tc>
      </w:tr>
      <w:tr>
        <w:tc>
          <w:tcPr>
            <w:tcW w:type="dxa" w:w="2340"/>
            <w:shd w:val="clear" w:color="auto" w:fill="EAF0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sz w:val="20"/>
              </w:rPr>
              <w:t>Secrets in Image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Trivy: RSA key +</w:t>
              <w:br/>
              <w:t>JWT tokens hardcoded</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w:t>
            </w:r>
          </w:p>
        </w:tc>
      </w:tr>
    </w:tbl>
    <w:p>
      <w:pPr>
        <w:spacing w:before="0" w:after="160"/>
      </w:pPr>
    </w:p>
    <w:p>
      <w:pPr>
        <w:spacing w:after="80"/>
      </w:pPr>
      <w:r>
        <w:rPr>
          <w:b w:val="0"/>
          <w:color w:val="404040"/>
          <w:sz w:val="22"/>
        </w:rPr>
        <w:t>The SQL Injection finding is the strongest example of SAST-DAST complementarity in this lab. Semgrep detected the unsafe string interpolation pattern at the code level in Module 2. ZAP in Module 3 sent a real payload and got back an HTTP 500 with the raw SQL exposed — runtime confirmation. Neither tool alone tells the complete story: SAST gives code-level root cause; DAST gives proof of exploitability.</w:t>
      </w:r>
    </w:p>
    <w:p>
      <w:r>
        <w:br w:type="page"/>
      </w:r>
    </w:p>
    <w:p>
      <w:pPr>
        <w:pStyle w:val="Heading1"/>
        <w:spacing w:before="240" w:after="80"/>
      </w:pPr>
      <w:r>
        <w:rPr>
          <w:color w:val="2E75B6"/>
        </w:rPr>
        <w:t>6. Remediation Priority Roadmap</w:t>
      </w:r>
    </w:p>
    <w:p>
      <w:pPr>
        <w:spacing w:after="80"/>
      </w:pPr>
      <w:r>
        <w:rPr>
          <w:b w:val="0"/>
          <w:color w:val="404040"/>
          <w:sz w:val="22"/>
        </w:rPr>
        <w:t>Address findings in this order to achieve maximum risk reduction with minimum effort: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Priority</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Findings</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One-Line Fix</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Effort</w:t>
            </w:r>
          </w:p>
        </w:tc>
      </w:tr>
      <w:tr>
        <w:tc>
          <w:tcPr>
            <w:tcW w:type="dxa" w:w="2340"/>
            <w:shd w:val="clear" w:color="auto" w:fill="C000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FFFFFF"/>
                <w:sz w:val="20"/>
              </w:rPr>
              <w:t>P1 — Immediate</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F-01 SQL Injection</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Switch to parameterised queries / Sequelize ORM methods</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Low</w:t>
            </w:r>
          </w:p>
        </w:tc>
      </w:tr>
      <w:tr>
        <w:tc>
          <w:tcPr>
            <w:tcW w:type="dxa" w:w="2340"/>
            <w:shd w:val="clear" w:color="auto" w:fill="E26B0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FFFFFF"/>
                <w:sz w:val="20"/>
              </w:rPr>
              <w:t>P2 — This Sprint</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F-02 CSP, F-04 Clickjacking,</w:t>
              <w:br/>
              <w:t>F-08 MIME Sniff</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app.use(helmet()) — all three fixed in one line</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Low</w:t>
            </w:r>
          </w:p>
        </w:tc>
      </w:tr>
      <w:tr>
        <w:tc>
          <w:tcPr>
            <w:tcW w:type="dxa" w:w="2340"/>
            <w:shd w:val="clear" w:color="auto" w:fill="59595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FFFFFF"/>
                <w:sz w:val="20"/>
              </w:rPr>
              <w:t>P3 — Next Sprint</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F-03 CORS, F-05 Session ID,</w:t>
              <w:br/>
              <w:t>F-06 Admin Endpoint</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Allowlist CORS origins; protect /admin/* routes; prefer WS transport</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Medium</w:t>
            </w:r>
          </w:p>
        </w:tc>
      </w:tr>
      <w:tr>
        <w:tc>
          <w:tcPr>
            <w:tcW w:type="dxa" w:w="2340"/>
            <w:shd w:val="clear" w:color="auto" w:fill="8080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FFFFFF"/>
                <w:sz w:val="20"/>
              </w:rPr>
              <w:t>P4 — Backlog</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F-07 Timestamps, F-09 Stack</w:t>
              <w:br/>
              <w:t>Trace, F-10 UA Fuzzer</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Set NODE_ENV=production; custom error handler; Referrer-Policy header</w:t>
            </w:r>
          </w:p>
        </w:tc>
        <w:tc>
          <w:tcPr>
            <w:tcW w:type="dxa" w:w="2340"/>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val="0"/>
                <w:sz w:val="20"/>
              </w:rPr>
              <w:t>Low</w:t>
            </w:r>
          </w:p>
        </w:tc>
      </w:tr>
    </w:tbl>
    <w:p>
      <w:pPr>
        <w:spacing w:before="0" w:after="200"/>
      </w:pPr>
    </w:p>
    <w:p>
      <w:pPr>
        <w:pStyle w:val="Heading1"/>
        <w:spacing w:before="240" w:after="80"/>
      </w:pPr>
      <w:r>
        <w:rPr>
          <w:color w:val="2E75B6"/>
        </w:rPr>
        <w:t>7. Key Takeaways</w:t>
      </w:r>
    </w:p>
    <w:p>
      <w:pPr>
        <w:spacing w:after="40"/>
        <w:ind w:left="432"/>
      </w:pPr>
      <w:r>
        <w:rPr>
          <w:b/>
          <w:color w:val="2E75B6"/>
          <w:sz w:val="22"/>
        </w:rPr>
        <w:t xml:space="preserve">1. DAST confirms what SAST suspects.  </w:t>
      </w:r>
      <w:r>
        <w:rPr>
          <w:sz w:val="22"/>
        </w:rPr>
        <w:t>Semgrep flagged string-concatenated SQL in Module 2. ZAP proved it's exploitable in Module 3 by getting a raw SQLite error. Use both.</w:t>
      </w:r>
    </w:p>
    <w:p>
      <w:pPr>
        <w:spacing w:before="0" w:after="80"/>
      </w:pPr>
    </w:p>
    <w:p>
      <w:pPr>
        <w:spacing w:after="40"/>
        <w:ind w:left="432"/>
      </w:pPr>
      <w:r>
        <w:rPr>
          <w:b/>
          <w:color w:val="2E75B6"/>
          <w:sz w:val="22"/>
        </w:rPr>
        <w:t xml:space="preserve">2. One helmet() call fixes 3 of 4 medium findings.  </w:t>
      </w:r>
      <w:r>
        <w:rPr>
          <w:sz w:val="22"/>
        </w:rPr>
        <w:t>CSP (F-02), clickjacking (F-04), and MIME sniffing (F-08) are all addressed by app.use(helmet()) in Express. The security ROI is enormous for a single line of code.</w:t>
      </w:r>
    </w:p>
    <w:p>
      <w:pPr>
        <w:spacing w:before="0" w:after="80"/>
      </w:pPr>
    </w:p>
    <w:p>
      <w:pPr>
        <w:spacing w:after="40"/>
        <w:ind w:left="432"/>
      </w:pPr>
      <w:r>
        <w:rPr>
          <w:b/>
          <w:color w:val="2E75B6"/>
          <w:sz w:val="22"/>
        </w:rPr>
        <w:t xml:space="preserve">3. CORS wildcard is a sleeper risk.  </w:t>
      </w:r>
      <w:r>
        <w:rPr>
          <w:sz w:val="22"/>
        </w:rPr>
        <w:t>Access-Control-Allow-Origin: * looks harmless in isolation, but combined with missing SameSite cookies it enables silent data exfiltration from any site. Rotate to an explicit allowlist before adding sensitive user data endpoints.</w:t>
      </w:r>
    </w:p>
    <w:p>
      <w:pPr>
        <w:spacing w:before="0" w:after="80"/>
      </w:pPr>
    </w:p>
    <w:p>
      <w:pPr>
        <w:spacing w:after="40"/>
        <w:ind w:left="432"/>
      </w:pPr>
      <w:r>
        <w:rPr>
          <w:b/>
          <w:color w:val="2E75B6"/>
          <w:sz w:val="22"/>
        </w:rPr>
        <w:t xml:space="preserve">4. Stack traces are attacker reconnaissance.  </w:t>
      </w:r>
      <w:r>
        <w:rPr>
          <w:sz w:val="22"/>
        </w:rPr>
        <w:t>Every error page leaking a file path saves the attacker minutes of enumeration. NODE_ENV=production eliminates this for free.</w:t>
      </w:r>
    </w:p>
    <w:p>
      <w:pPr>
        <w:spacing w:before="0" w:after="80"/>
      </w:pPr>
    </w:p>
    <w:p>
      <w:pPr>
        <w:spacing w:after="40"/>
        <w:ind w:left="432"/>
      </w:pPr>
      <w:r>
        <w:rPr>
          <w:b/>
          <w:color w:val="2E75B6"/>
          <w:sz w:val="22"/>
        </w:rPr>
        <w:t xml:space="preserve">5. All three pillars now covered.  </w:t>
      </w:r>
      <w:r>
        <w:rPr>
          <w:sz w:val="22"/>
        </w:rPr>
        <w:t>With Modules 1-3 complete, the pipeline has SAST (Bandit/Semgrep), SCA (Trivy/OSV), and DAST (ZAP) all feeding findings into GitHub Actions. Module 4 adds the human layer: manual pentesting with Burp Suite to catch what automated tools miss.</w:t>
      </w:r>
    </w:p>
    <w:p>
      <w:pPr>
        <w:spacing w:before="0" w:after="80"/>
      </w:pPr>
    </w:p>
    <w:p>
      <w:pPr>
        <w:spacing w:before="0" w:after="400"/>
      </w:pPr>
    </w:p>
    <w:p>
      <w:pPr>
        <w:jc w:val="center"/>
      </w:pPr>
      <w:r>
        <w:rPr>
          <w:i/>
          <w:color w:val="808080"/>
          <w:sz w:val="20"/>
        </w:rPr>
        <w:t>DevSecOps &amp; AI Security Lab  |  Module 3 Complete  |  Next: Module 4 — Manual Pentesting with Burp Suite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