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PascalCasing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for class names and method names.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ClientActivity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ClearStatistics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    </w:t>
      </w:r>
      <w:r>
        <w:rPr>
          <w:rFonts w:ascii="Courier New" w:hAnsi="Courier New" w:cs="Courier New"/>
          <w:color w:val="008000"/>
          <w:sz w:val="20"/>
          <w:szCs w:val="20"/>
        </w:rPr>
        <w:t>//...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CalculateStatistics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    </w:t>
      </w:r>
      <w:r>
        <w:rPr>
          <w:rFonts w:ascii="Courier New" w:hAnsi="Courier New" w:cs="Courier New"/>
          <w:color w:val="008000"/>
          <w:sz w:val="20"/>
          <w:szCs w:val="20"/>
        </w:rPr>
        <w:t>//...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Microsoft's .NET Framework and easy to read.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camelCasing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for method arguments and local variables.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UserLog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LogEvent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   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logEvent.Items.Count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    </w:t>
      </w:r>
      <w:r>
        <w:rPr>
          <w:rFonts w:ascii="Courier New" w:hAnsi="Courier New" w:cs="Courier New"/>
          <w:color w:val="008000"/>
          <w:sz w:val="20"/>
          <w:szCs w:val="20"/>
        </w:rPr>
        <w:t>// ...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Microsoft's .NET Framework and easy to read.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5511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not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Hungarian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notation or any other type identification in identifiers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counter;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Avoid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Microsoft's .NET Framework and Visual Studio IDE makes determining types very easy (via tooltips). In general you want to avoid type indicators in any identifier.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5511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not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Screaming Caps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for constants 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readonly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variables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ShippingType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DropShip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Avoid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SHIPPINGTYPE = </w:t>
      </w:r>
      <w:r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31515"/>
          <w:sz w:val="20"/>
          <w:szCs w:val="20"/>
        </w:rPr>
        <w:t>DropShip</w:t>
      </w:r>
      <w:proofErr w:type="spellEnd"/>
      <w:r>
        <w:rPr>
          <w:rFonts w:ascii="Courier New" w:hAnsi="Courier New" w:cs="Courier New"/>
          <w:color w:val="A31515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consistent with the Microsoft's .NET Framework.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Caps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too much attention.</w:t>
      </w:r>
      <w:proofErr w:type="gramEnd"/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1155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1155"/>
        </w:rPr>
        <w:t>avoid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Abbreviations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Exceptions: abbreviations commonly used as names,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        such as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Id, Xml, Ftp, Uri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lastRenderedPageBreak/>
        <w:t>UserGroup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1AF"/>
          <w:sz w:val="20"/>
          <w:szCs w:val="20"/>
        </w:rPr>
        <w:t>Assignment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Avoid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UserGroup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usrGrp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1AF"/>
          <w:sz w:val="20"/>
          <w:szCs w:val="20"/>
        </w:rPr>
        <w:t>Assignment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Exceptions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XmlDocument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FtpHelper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ftpHelper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UriPart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uriPart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Microsoft's .NET Framework and prevents inconsistent abbreviations.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PascalCasing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for abbreviations 3 characters or more (2 chars are both uppercase)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2B91AF"/>
          <w:sz w:val="20"/>
          <w:szCs w:val="20"/>
        </w:rPr>
        <w:t>Html</w:t>
      </w:r>
      <w:r>
        <w:rPr>
          <w:rFonts w:ascii="Courier New" w:hAnsi="Courier New" w:cs="Courier New"/>
          <w:color w:val="2B91AF"/>
          <w:sz w:val="20"/>
          <w:szCs w:val="20"/>
        </w:rPr>
        <w:t>Helper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htmlHelper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2B91AF"/>
          <w:sz w:val="20"/>
          <w:szCs w:val="20"/>
        </w:rPr>
        <w:t>Ftp</w:t>
      </w:r>
      <w:r>
        <w:rPr>
          <w:rFonts w:ascii="Courier New" w:hAnsi="Courier New" w:cs="Courier New"/>
          <w:color w:val="2B91AF"/>
          <w:sz w:val="20"/>
          <w:szCs w:val="20"/>
        </w:rPr>
        <w:t>Transfer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ftpTranfer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2B91AF"/>
          <w:sz w:val="20"/>
          <w:szCs w:val="20"/>
        </w:rPr>
        <w:t>UI</w:t>
      </w:r>
      <w:r>
        <w:rPr>
          <w:rFonts w:ascii="Courier New" w:hAnsi="Courier New" w:cs="Courier New"/>
          <w:color w:val="2B91AF"/>
          <w:sz w:val="20"/>
          <w:szCs w:val="20"/>
        </w:rPr>
        <w:t>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consistent with the Microsoft's .NET Framework. Caps would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visually too much attention.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5511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not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Underscores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in identifiers. Exception: you can prefix private static variables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           with an underscore.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TimeSpan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Avoid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client_Appointment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TimeSpan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Exception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registrationDate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Microsoft's .NET Framework and makes code more natural to read (without 'slur'). Also avoids underline stress (inability to see underline).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predefined type names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instead of system type names like Int16, Single, UInt64,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bool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isSaved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Avoid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1AF"/>
          <w:sz w:val="20"/>
          <w:szCs w:val="20"/>
        </w:rPr>
        <w:t>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1A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isSaved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Microsoft's .NET Framework and makes code more natural to read. 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lastRenderedPageBreak/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implicit type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for local variable declarations. Exception: primitive types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string,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 double,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use predefined names.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stream =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(path);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customers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?, </w:t>
      </w:r>
      <w:r>
        <w:rPr>
          <w:rFonts w:ascii="Courier New" w:hAnsi="Courier New" w:cs="Courier New"/>
          <w:color w:val="2B91A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Exceptions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= 100;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timeSheet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bool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isCompleted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removes clutter, particularly with complex generic types. Type is easily detected with Visual Studio tooltips.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noun or noun phrases to name a class.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Employee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BusinessLocation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DocumentCollection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Microsoft's .NET Framework and easy to remember.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prefix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interfaces with the letter </w:t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 Interface names are noun (phrases) or adjectives.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IShape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IShapeCollection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IGroupable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Microsoft's .NET Framework.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source files according to their main classes. Exception: file names with partial classes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 reflect their source or purpose, e.g. designer, generated, etc.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Located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Task.cs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partial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Task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00"/>
          <w:sz w:val="20"/>
          <w:szCs w:val="20"/>
        </w:rPr>
        <w:t>//...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Located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Task.generated.cs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partial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Task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00"/>
          <w:sz w:val="20"/>
          <w:szCs w:val="20"/>
        </w:rPr>
        <w:t>//...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 practices. Files are alphabetically sorted and partial classes remain adjacent.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organize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namespaces with a clearly defined structure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Examples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namespace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Company.Product.Module.SubModule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namespace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Product.Module.Component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namespace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Product.Layer.Module.Group</w:t>
      </w:r>
      <w:proofErr w:type="spellEnd"/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consistent with the Microsoft's .NET Framework.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Maintains good organization of your code base.</w:t>
      </w:r>
      <w:proofErr w:type="gramEnd"/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vertically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align curly brackets.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Program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Microsoft has a different standard, but developers have overwhelmingly preferred vertically aligned brackets.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declare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all member variables at the top of a class, with static variables at the very top.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Account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Reserves;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{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DateOpened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 {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8000"/>
          <w:sz w:val="20"/>
          <w:szCs w:val="20"/>
        </w:rPr>
        <w:t>// Constructor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Account()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    </w:t>
      </w:r>
      <w:r>
        <w:rPr>
          <w:rFonts w:ascii="Courier New" w:hAnsi="Courier New" w:cs="Courier New"/>
          <w:color w:val="008000"/>
          <w:sz w:val="20"/>
          <w:szCs w:val="20"/>
        </w:rPr>
        <w:t>// ...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generally accepted practice that prevents the need to hunt for variable declarations.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1155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115511"/>
        </w:rPr>
        <w:t>do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singular names for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Exception: bit field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Color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Red,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Green,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Blue,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 Yellow,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Magenta,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Cyan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Exception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2B91AF"/>
          <w:sz w:val="20"/>
          <w:szCs w:val="20"/>
        </w:rPr>
        <w:t>Flags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Dockings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None = 0,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Top = 1, 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Right = 2, 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Bottom = 4,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Left = 8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consistent with the Microsoft's .NET Framework and makes the code more natural to read. Plural flags because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can hold multiple values (using bitwise 'OR').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5511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not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explicitly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specify a type of 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values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(except bit fields)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Don't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Direction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FF"/>
          <w:sz w:val="20"/>
          <w:szCs w:val="20"/>
        </w:rPr>
        <w:t>long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North = 1,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East = 2,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South = 3,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West = 4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Direction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North,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East,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South,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West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can create confusion when relying on actual types and values.</w:t>
      </w:r>
    </w:p>
    <w:p w:rsidR="006E6B4A" w:rsidRDefault="006E6B4A" w:rsidP="006E6B4A">
      <w:pPr>
        <w:rPr>
          <w:rFonts w:ascii="Arial" w:hAnsi="Arial" w:cs="Arial"/>
          <w:color w:val="FFFFFF"/>
          <w:sz w:val="36"/>
          <w:szCs w:val="36"/>
          <w:shd w:val="clear" w:color="auto" w:fill="551111"/>
        </w:rPr>
      </w:pPr>
    </w:p>
    <w:p w:rsidR="006E6B4A" w:rsidRDefault="006E6B4A" w:rsidP="006E6B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do</w:t>
      </w:r>
      <w:proofErr w:type="gramEnd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 xml:space="preserve"> </w:t>
      </w:r>
      <w:proofErr w:type="spellStart"/>
      <w:r>
        <w:rPr>
          <w:rFonts w:ascii="Arial" w:hAnsi="Arial" w:cs="Arial"/>
          <w:color w:val="FFFFFF"/>
          <w:sz w:val="36"/>
          <w:szCs w:val="36"/>
          <w:shd w:val="clear" w:color="auto" w:fill="551111"/>
        </w:rPr>
        <w:t>not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suffix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names with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Don't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B91AF"/>
          <w:sz w:val="20"/>
          <w:szCs w:val="20"/>
        </w:rPr>
        <w:t>CoinEnum</w:t>
      </w:r>
      <w:proofErr w:type="spellEnd"/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Penny,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Nickel,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Dime,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Quarter,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Dollar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Correct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B91AF"/>
          <w:sz w:val="20"/>
          <w:szCs w:val="20"/>
        </w:rPr>
        <w:t>Coin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Penny,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Nickel,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Dime,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Quarter,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 Dollar</w:t>
      </w:r>
    </w:p>
    <w:p w:rsidR="006E6B4A" w:rsidRDefault="006E6B4A" w:rsidP="006E6B4A">
      <w:pPr>
        <w:shd w:val="clear" w:color="auto" w:fill="F8F8DF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6B4A" w:rsidRDefault="006E6B4A" w:rsidP="006E6B4A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consistent with the Microsoft's .NET Framework and consistent with prior rule of no type indicators in identifiers.</w:t>
      </w:r>
    </w:p>
    <w:p w:rsidR="002D32F3" w:rsidRDefault="002D32F3">
      <w:bookmarkStart w:id="0" w:name="_GoBack"/>
      <w:bookmarkEnd w:id="0"/>
    </w:p>
    <w:sectPr w:rsidR="002D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4A"/>
    <w:rsid w:val="002D32F3"/>
    <w:rsid w:val="006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4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4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Banerjee</dc:creator>
  <cp:lastModifiedBy>Sushant Banerjee</cp:lastModifiedBy>
  <cp:revision>1</cp:revision>
  <dcterms:created xsi:type="dcterms:W3CDTF">2013-10-18T11:55:00Z</dcterms:created>
  <dcterms:modified xsi:type="dcterms:W3CDTF">2013-10-18T11:55:00Z</dcterms:modified>
</cp:coreProperties>
</file>