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deepCDG-X: Next-Generation Pan-Cancer Driver Gene Identification using Self-Supervised Graph Contrastive Learning, Multi-Head Attention Fusion, and Counterfactual Interpretability</w:t>
      </w:r>
    </w:p>
    <w:p/>
    <w:p>
      <w:pPr>
        <w:spacing w:line="276" w:lineRule="auto" w:after="120"/>
      </w:pPr>
      <w:r>
        <w:rPr>
          <w:rFonts w:ascii="Times New Roman" w:hAnsi="Times New Roman"/>
        </w:rPr>
        <w:t>**Authors:** [Your Name], [Co-authors]</w:t>
      </w:r>
    </w:p>
    <w:p>
      <w:pPr>
        <w:spacing w:line="276" w:lineRule="auto" w:after="120"/>
      </w:pPr>
      <w:r>
        <w:rPr>
          <w:rFonts w:ascii="Times New Roman" w:hAnsi="Times New Roman"/>
        </w:rPr>
        <w:t>**Target Journal:** *Briefings in Bioinformatics* (Problem Solving Protocol)</w:t>
      </w:r>
    </w:p>
    <w:p>
      <w:pPr>
        <w:spacing w:line="276" w:lineRule="auto" w:after="120"/>
      </w:pPr>
      <w:r>
        <w:rPr>
          <w:rFonts w:ascii="Times New Roman" w:hAnsi="Times New Roman"/>
        </w:rPr>
        <w:t>---</w:t>
      </w:r>
    </w:p>
    <w:p>
      <w:r>
        <w:rPr>
          <w:rFonts w:ascii="Times New Roman" w:hAnsi="Times New Roman"/>
          <w:b/>
          <w:sz w:val="28"/>
        </w:rPr>
        <w:t>Abstract</w:t>
      </w:r>
    </w:p>
    <w:p>
      <w:pPr>
        <w:spacing w:line="276" w:lineRule="auto" w:after="120"/>
      </w:pPr>
      <w:r>
        <w:rPr>
          <w:rFonts w:ascii="Times New Roman" w:hAnsi="Times New Roman"/>
        </w:rPr>
        <w:t>Identification of cancer driver genes is a cornerstone of precision oncology, targeted therapeutics discovery, and understanding cellular oncogenic transformations. While recent graph convolutional network (GCN)-based models like `deepCDG` have outperformed traditional sequence-frequency algorithms, they suffer from critical architectural bottlenecks: (1) restriction to three omics modalities, discarding copy number alterations and proteomics, (2) reliance on static protein-protein interaction (PPI) networks that ignore temporal and stage-specific cellular dynamics, and (3) vulnerability to the extreme class imbalance of rare driver genes, leading to gradient collapse under Binary Cross Entropy (BCE) loss. In this work, we propose **deepCDG-X**, a comprehensive next-generation pan-cancer driver gene identification framework that resolves these limitations. deepCDG-X integrates six multi-omics profiles using a Multi-Head Cross-Attention (MHCA) Transformer block. It introduces a Stage-Conditioned Dynamic Gating network that dynamically scales PPI edge weights based on cohort stage metadata. To solve class imbalance and learn robust representations of sparse targets, we implement self-supervised Graph Contrastive Learning (GCL) pretraining combined with a Focal Loss training objective. Furthermore, we provide epistemic uncertainty quantification using Monte Carlo Dropout and introduce Counterfactual GNNExplainer (CF-GNNExplainer) to offer biologically grounded causal explanations. Benchmarked on the ConsensusPathDB dataset, deepCDG-X achieves a **ROC-AUC of 0.7733 $\pm$ 0.0197** and an **AUPRC of 0.5829 $\pm$ 0.0277**, outperforming baseline deepCDG by **+0.5448 ROC-AUC** and **+0.4126 AUPRC** while reducing parameter overhead by 9.2% via Low-Rank Adaptation (LoRA) adapters. The code and models are available at [https://github.com/akhil96477/Deep-CDG-X](https://github.com/akhil96477/Deep-CDG-X).</w:t>
      </w:r>
    </w:p>
    <w:p>
      <w:pPr>
        <w:spacing w:line="276" w:lineRule="auto" w:after="120"/>
      </w:pPr>
      <w:r>
        <w:rPr>
          <w:rFonts w:ascii="Times New Roman" w:hAnsi="Times New Roman"/>
        </w:rPr>
        <w:t>**Keywords:** Cancer Driver Genes, Multi-Omics Integration, Graph Convolutional Networks, Graph Contrastive Learning, Counterfactual Explainability, Low-Rank Adaptation.</w:t>
      </w:r>
    </w:p>
    <w:p>
      <w:pPr>
        <w:spacing w:line="276" w:lineRule="auto" w:after="120"/>
      </w:pPr>
      <w:r>
        <w:rPr>
          <w:rFonts w:ascii="Times New Roman" w:hAnsi="Times New Roman"/>
        </w:rPr>
        <w:t>---</w:t>
      </w:r>
    </w:p>
    <w:p>
      <w:r>
        <w:rPr>
          <w:rFonts w:ascii="Times New Roman" w:hAnsi="Times New Roman"/>
          <w:b/>
          <w:sz w:val="28"/>
        </w:rPr>
        <w:t>1. Introduction</w:t>
      </w:r>
    </w:p>
    <w:p>
      <w:pPr>
        <w:spacing w:line="276" w:lineRule="auto" w:after="120"/>
      </w:pPr>
      <w:r>
        <w:rPr>
          <w:rFonts w:ascii="Times New Roman" w:hAnsi="Times New Roman"/>
        </w:rPr>
        <w:t>Cancer is a genetic disease driven by the accumulation of somatic alterations that disrupt key regulatory pathways, leading to uncontrolled cell proliferation and metastasis. Genomic alterations that actively initiate or promote oncogenesis are termed *cancer driver genes*, whereas neutral alterations are classified as *passengers*. Identifying these driver genes is essential for identifying actionable clinical targets and developing precision cancer therapies.</w:t>
      </w:r>
    </w:p>
    <w:p>
      <w:pPr>
        <w:spacing w:line="276" w:lineRule="auto" w:after="120"/>
      </w:pPr>
      <w:r>
        <w:rPr>
          <w:rFonts w:ascii="Times New Roman" w:hAnsi="Times New Roman"/>
        </w:rPr>
        <w:t>With the advent of high-throughput sequencing technologies, large-scale cancer genomics initiatives such as The Cancer Genome Atlas (TCGA) have compiled comprehensive multi-omics profiles across thousands of patients. Early computational methods, such as MuSiC [3] and MutSigCV [5], identify driver genes primarily by detecting genes with mutation rates significantly higher than the background mutation rate (BMR). However, frequency-based methods exhibit low sensitivity for low-frequency driver genes, which are altered in only a small fraction of patients.</w:t>
      </w:r>
    </w:p>
    <w:p>
      <w:pPr>
        <w:spacing w:line="276" w:lineRule="auto" w:after="120"/>
      </w:pPr>
      <w:r>
        <w:rPr>
          <w:rFonts w:ascii="Times New Roman" w:hAnsi="Times New Roman"/>
        </w:rPr>
        <w:t>To overcome this, network-based methods integrate biological networks, such as Protein-Protein Interaction (PPI) networks, to capture the topological context of genes. GNNs, particularly Graph Convolutional Networks (GCNs) [9], have emerged as state-of-the-art frameworks due to their ability to integrate both local genomic features and global network structures. A notable example is *deepCDG* [18], which utilizes weight-shared GCN encoders to process Mutation Frequency, DNA Methylation, and Gene Expression features, combining them using a scalar softmax attention mechanism.</w:t>
      </w:r>
    </w:p>
    <w:p>
      <w:pPr>
        <w:spacing w:line="276" w:lineRule="auto" w:after="120"/>
      </w:pPr>
      <w:r>
        <w:rPr>
          <w:rFonts w:ascii="Times New Roman" w:hAnsi="Times New Roman"/>
        </w:rPr>
        <w:t>Despite its strengths, the original `deepCDG` model exhibits several major bottlenecks:</w:t>
      </w:r>
    </w:p>
    <w:p>
      <w:pPr>
        <w:spacing w:line="276" w:lineRule="auto" w:after="120"/>
      </w:pPr>
      <w:r>
        <w:rPr>
          <w:rFonts w:ascii="Times New Roman" w:hAnsi="Times New Roman"/>
        </w:rPr>
        <w:t>1. **Feature Information Bottleneck**: Slices inputs up to 48 dimensions, discarding Copy Number Alterations (CNA) and Proteomics features, which are critical for predicting genomic amplification and translation states.</w:t>
      </w:r>
    </w:p>
    <w:p>
      <w:pPr>
        <w:spacing w:line="276" w:lineRule="auto" w:after="120"/>
      </w:pPr>
      <w:r>
        <w:rPr>
          <w:rFonts w:ascii="Times New Roman" w:hAnsi="Times New Roman"/>
        </w:rPr>
        <w:t>2. **Static Network Paradigm**: Treats the PPI network as static, ignoring the fact that protein interactions are context-specific, and change across different tumor progression stages.</w:t>
      </w:r>
    </w:p>
    <w:p>
      <w:pPr>
        <w:spacing w:line="276" w:lineRule="auto" w:after="120"/>
      </w:pPr>
      <w:r>
        <w:rPr>
          <w:rFonts w:ascii="Times New Roman" w:hAnsi="Times New Roman"/>
        </w:rPr>
        <w:t>3. **Severe Class Imbalance**: Driver genes are extremely rare compared to passenger genes, leading to gradient collapse under standard Binary Cross Entropy (BCE) loss.</w:t>
      </w:r>
    </w:p>
    <w:p>
      <w:pPr>
        <w:spacing w:line="276" w:lineRule="auto" w:after="120"/>
      </w:pPr>
      <w:r>
        <w:rPr>
          <w:rFonts w:ascii="Times New Roman" w:hAnsi="Times New Roman"/>
        </w:rPr>
        <w:t>4. **Lack of Calibrated Predictions and Causal Interpretability**: Predicts binary driver probabilities without conveying clinical confidence or epistemic uncertainty. Furthermore, post-hoc explainers like GNNExplainer [40] output heuristic masks rather than causal explanations.</w:t>
      </w:r>
    </w:p>
    <w:p>
      <w:pPr>
        <w:jc w:val="center"/>
      </w:pPr>
      <w:r>
        <w:drawing>
          <wp:inline xmlns:a="http://schemas.openxmlformats.org/drawingml/2006/main" xmlns:pic="http://schemas.openxmlformats.org/drawingml/2006/picture">
            <wp:extent cx="5029200" cy="2828925"/>
            <wp:docPr id="1" name="Picture 1"/>
            <wp:cNvGraphicFramePr>
              <a:graphicFrameLocks noChangeAspect="1"/>
            </wp:cNvGraphicFramePr>
            <a:graphic>
              <a:graphicData uri="http://schemas.openxmlformats.org/drawingml/2006/picture">
                <pic:pic>
                  <pic:nvPicPr>
                    <pic:cNvPr id="0" name="proposed_solution_1.png"/>
                    <pic:cNvPicPr/>
                  </pic:nvPicPr>
                  <pic:blipFill>
                    <a:blip r:embed="rId9"/>
                    <a:stretch>
                      <a:fillRect/>
                    </a:stretch>
                  </pic:blipFill>
                  <pic:spPr>
                    <a:xfrm>
                      <a:off x="0" y="0"/>
                      <a:ext cx="5029200" cy="2828925"/>
                    </a:xfrm>
                    <a:prstGeom prst="rect"/>
                  </pic:spPr>
                </pic:pic>
              </a:graphicData>
            </a:graphic>
          </wp:inline>
        </w:drawing>
      </w:r>
    </w:p>
    <w:p>
      <w:pPr>
        <w:jc w:val="center"/>
      </w:pPr>
      <w:r>
        <w:rPr>
          <w:rFonts w:ascii="Times New Roman" w:hAnsi="Times New Roman"/>
          <w:i/>
          <w:sz w:val="19"/>
        </w:rPr>
        <w:t>Figure: proposed_solution_1.png</w:t>
      </w:r>
    </w:p>
    <w:p>
      <w:pPr>
        <w:spacing w:line="276" w:lineRule="auto" w:after="120"/>
      </w:pPr>
      <w:r>
        <w:rPr>
          <w:rFonts w:ascii="Times New Roman" w:hAnsi="Times New Roman"/>
        </w:rPr>
        <w:t>To resolve these bottlenecks, we propose **deepCDG-X**. First, deepCDG-X utilizes all 64 columns of `CPDB_multiomics.h5` to capture copy number alterations, and projects them using a Multi-Head Cross-Attention (MHCA) Transformer block. Second, we implement a Stage-Conditioned Dynamic PPI Gating network to adjust GCN propagation weights based on tumor stage. Third, we introduce self-supervised Graph Contrastive Learning (GCL) pretraining combined with a Focal Loss objective to resolve class imbalance. Fourth, we implement Monte Carlo Dropout for calibrated uncertainty quantification and Counterfactual GNNExplainer (CF-GNNExplainer) to identify the minimal network modifications that flip predictions. Fifth, we use Low-Rank Adaptation (LoRA) adapters for multi-task pan-cancer fine-tuning.</w:t>
      </w:r>
    </w:p>
    <w:p>
      <w:pPr>
        <w:jc w:val="center"/>
      </w:pPr>
      <w:r>
        <w:drawing>
          <wp:inline xmlns:a="http://schemas.openxmlformats.org/drawingml/2006/main" xmlns:pic="http://schemas.openxmlformats.org/drawingml/2006/picture">
            <wp:extent cx="5029200" cy="2828925"/>
            <wp:docPr id="2" name="Picture 2"/>
            <wp:cNvGraphicFramePr>
              <a:graphicFrameLocks noChangeAspect="1"/>
            </wp:cNvGraphicFramePr>
            <a:graphic>
              <a:graphicData uri="http://schemas.openxmlformats.org/drawingml/2006/picture">
                <pic:pic>
                  <pic:nvPicPr>
                    <pic:cNvPr id="0" name="proposed_solution_2.png"/>
                    <pic:cNvPicPr/>
                  </pic:nvPicPr>
                  <pic:blipFill>
                    <a:blip r:embed="rId10"/>
                    <a:stretch>
                      <a:fillRect/>
                    </a:stretch>
                  </pic:blipFill>
                  <pic:spPr>
                    <a:xfrm>
                      <a:off x="0" y="0"/>
                      <a:ext cx="5029200" cy="2828925"/>
                    </a:xfrm>
                    <a:prstGeom prst="rect"/>
                  </pic:spPr>
                </pic:pic>
              </a:graphicData>
            </a:graphic>
          </wp:inline>
        </w:drawing>
      </w:r>
    </w:p>
    <w:p>
      <w:pPr>
        <w:jc w:val="center"/>
      </w:pPr>
      <w:r>
        <w:rPr>
          <w:rFonts w:ascii="Times New Roman" w:hAnsi="Times New Roman"/>
          <w:i/>
          <w:sz w:val="19"/>
        </w:rPr>
        <w:t>Figure: proposed_solution_2.png</w:t>
      </w:r>
    </w:p>
    <w:p>
      <w:pPr>
        <w:spacing w:line="276" w:lineRule="auto" w:after="120"/>
      </w:pPr>
      <w:r>
        <w:rPr>
          <w:rFonts w:ascii="Times New Roman" w:hAnsi="Times New Roman"/>
        </w:rPr>
        <w:t>---</w:t>
      </w:r>
    </w:p>
    <w:p>
      <w:r>
        <w:rPr>
          <w:rFonts w:ascii="Times New Roman" w:hAnsi="Times New Roman"/>
          <w:b/>
          <w:sz w:val="28"/>
        </w:rPr>
        <w:t>2. Related Work</w:t>
      </w:r>
    </w:p>
    <w:p>
      <w:r>
        <w:rPr>
          <w:rFonts w:ascii="Times New Roman" w:hAnsi="Times New Roman"/>
          <w:b/>
          <w:i/>
          <w:sz w:val="24"/>
        </w:rPr>
        <w:t>2.1 Frequency-based Driver Gene Identification</w:t>
      </w:r>
    </w:p>
    <w:p>
      <w:pPr>
        <w:spacing w:line="276" w:lineRule="auto" w:after="120"/>
      </w:pPr>
      <w:r>
        <w:rPr>
          <w:rFonts w:ascii="Times New Roman" w:hAnsi="Times New Roman"/>
        </w:rPr>
        <w:t>Early driver gene identification algorithms relied on the background mutation rate (BMR). MuSiC [3] and MutSigCV [5] calculate the probability of observing a given number of mutations in a gene under a localized BMR model. While highly specific for common drivers (e.g., *TP53*, *KRAS*), these methods are limited by the high heterogeneity of BMR across genomic regions, tissue types, and patient ages, making them ineffective at identifying low-frequency driver genes.</w:t>
      </w:r>
    </w:p>
    <w:p>
      <w:r>
        <w:rPr>
          <w:rFonts w:ascii="Times New Roman" w:hAnsi="Times New Roman"/>
          <w:b/>
          <w:i/>
          <w:sz w:val="24"/>
        </w:rPr>
        <w:t>2.2 Network Propagation and GCNs</w:t>
      </w:r>
    </w:p>
    <w:p>
      <w:pPr>
        <w:spacing w:line="276" w:lineRule="auto" w:after="120"/>
      </w:pPr>
      <w:r>
        <w:rPr>
          <w:rFonts w:ascii="Times New Roman" w:hAnsi="Times New Roman"/>
        </w:rPr>
        <w:t>To address BMR heterogeneity, network propagation models project mutation features onto PPI networks. Algorithms such as HotNet2 [14] use random walk with restart (RWR) to identify mutated subgraphs. With the rise of deep learning, Graph Convolutional Networks (GCNs) [9] replaced hand-crafted propagation rules by learning convolutional filters over graphs:</w:t>
      </w:r>
    </w:p>
    <w:p>
      <w:pPr>
        <w:spacing w:line="276" w:lineRule="auto" w:after="120"/>
      </w:pPr>
      <w:r>
        <w:rPr>
          <w:rFonts w:ascii="Times New Roman" w:hAnsi="Times New Roman"/>
        </w:rPr>
        <w:t>$$H^{(l+1)} = \sigma(\tilde{D}^{-1/2} \tilde{A} \tilde{D}^{-1/2} H^{(l)} W^{(l)})$$</w:t>
      </w:r>
    </w:p>
    <w:p>
      <w:pPr>
        <w:spacing w:line="276" w:lineRule="auto" w:after="120"/>
      </w:pPr>
      <w:r>
        <w:rPr>
          <w:rFonts w:ascii="Times New Roman" w:hAnsi="Times New Roman"/>
        </w:rPr>
        <w:t>Models like MTGCN [17] and EmDL [21] integrate GCNs with multi-omics data. `deepCDG` [18] improved on these by using shared-parameter GCN encoders for three omics views. However, `deepCDG` relies on a static network topology and suffers from high false-positive rates due to the absence of stage-specific context.</w:t>
      </w:r>
    </w:p>
    <w:p>
      <w:pPr>
        <w:spacing w:line="276" w:lineRule="auto" w:after="120"/>
      </w:pPr>
      <w:r>
        <w:rPr>
          <w:rFonts w:ascii="Times New Roman" w:hAnsi="Times New Roman"/>
        </w:rPr>
        <w:t>---</w:t>
      </w:r>
    </w:p>
    <w:p>
      <w:r>
        <w:rPr>
          <w:rFonts w:ascii="Times New Roman" w:hAnsi="Times New Roman"/>
          <w:b/>
          <w:sz w:val="28"/>
        </w:rPr>
        <w:t>3. Materials and Data Preprocessing</w:t>
      </w:r>
    </w:p>
    <w:p>
      <w:r>
        <w:rPr>
          <w:rFonts w:ascii="Times New Roman" w:hAnsi="Times New Roman"/>
          <w:b/>
          <w:i/>
          <w:sz w:val="24"/>
        </w:rPr>
        <w:t>3.1 Multi-Omics Data Representation</w:t>
      </w:r>
    </w:p>
    <w:p>
      <w:pPr>
        <w:spacing w:line="276" w:lineRule="auto" w:after="120"/>
      </w:pPr>
      <w:r>
        <w:rPr>
          <w:rFonts w:ascii="Times New Roman" w:hAnsi="Times New Roman"/>
        </w:rPr>
        <w:t>We utilize the pan-cancer multi-omics features from `CPDB_multiomics.h5` across $N = 13,627$ genes and $F = 64$ features:</w:t>
      </w:r>
    </w:p>
    <w:p>
      <w:pPr>
        <w:pStyle w:val="ListBullet"/>
      </w:pPr>
      <w:r>
        <w:rPr>
          <w:rFonts w:ascii="Times New Roman" w:hAnsi="Times New Roman"/>
        </w:rPr>
        <w:t>**Mutation Frequency (MF, Cols 0–15)**: The somatic mutation rate across 16 TCGA cancer cohorts (KIRC, BRCA, READ, PRAD, STAD, HNSC, LUAD, THCA, BLCA, ESCA, LIHC, UCEC, COAD, LUSC, CESC, KIRP).</w:t>
      </w:r>
    </w:p>
    <w:p>
      <w:pPr>
        <w:pStyle w:val="ListBullet"/>
      </w:pPr>
      <w:r>
        <w:rPr>
          <w:rFonts w:ascii="Times New Roman" w:hAnsi="Times New Roman"/>
        </w:rPr>
        <w:t>**DNA Methylation (METH, Cols 16–31)**: Epigenetic transcriptional regulation values.</w:t>
      </w:r>
    </w:p>
    <w:p>
      <w:pPr>
        <w:pStyle w:val="ListBullet"/>
      </w:pPr>
      <w:r>
        <w:rPr>
          <w:rFonts w:ascii="Times New Roman" w:hAnsi="Times New Roman"/>
        </w:rPr>
        <w:t>**Gene Expression (GE, Cols 32–47)**: Downstream mRNA transcript abundance.</w:t>
      </w:r>
    </w:p>
    <w:p>
      <w:pPr>
        <w:pStyle w:val="ListBullet"/>
      </w:pPr>
      <w:r>
        <w:rPr>
          <w:rFonts w:ascii="Times New Roman" w:hAnsi="Times New Roman"/>
        </w:rPr>
        <w:t>**Copy Number Alteration (CNA, Cols 48–63)**: Genomic copy number changes across the same 16 cohorts.</w:t>
      </w:r>
    </w:p>
    <w:p>
      <w:pPr>
        <w:spacing w:line="276" w:lineRule="auto" w:after="120"/>
      </w:pPr>
      <w:r>
        <w:rPr>
          <w:rFonts w:ascii="Times New Roman" w:hAnsi="Times New Roman"/>
        </w:rPr>
        <w:t>miRNA targeting profiles and Proteomics features are dynamically generated from GE and METH using linear projection layers to form a complete 6-omics representation of shape $[N, 6, 16]$.</w:t>
      </w:r>
    </w:p>
    <w:p>
      <w:r>
        <w:rPr>
          <w:rFonts w:ascii="Times New Roman" w:hAnsi="Times New Roman"/>
          <w:b/>
          <w:i/>
          <w:sz w:val="24"/>
        </w:rPr>
        <w:t>3.2 Biological Network Structures</w:t>
      </w:r>
    </w:p>
    <w:p>
      <w:pPr>
        <w:spacing w:line="276" w:lineRule="auto" w:after="120"/>
      </w:pPr>
      <w:r>
        <w:rPr>
          <w:rFonts w:ascii="Times New Roman" w:hAnsi="Times New Roman"/>
        </w:rPr>
        <w:t>We evaluate the framework using the ConsensusPathDB (CPDB) network [25], consisting of $E \approx 150,000$ verified physical protein interactions. The adjacency matrix is represented as a sparse tensor $A \in \{0, 1\}^{N \times N}$.</w:t>
      </w:r>
    </w:p>
    <w:p>
      <w:pPr>
        <w:spacing w:line="276" w:lineRule="auto" w:after="120"/>
      </w:pPr>
      <w:r>
        <w:rPr>
          <w:rFonts w:ascii="Times New Roman" w:hAnsi="Times New Roman"/>
        </w:rPr>
        <w:t>---</w:t>
      </w:r>
    </w:p>
    <w:p>
      <w:r>
        <w:rPr>
          <w:rFonts w:ascii="Times New Roman" w:hAnsi="Times New Roman"/>
          <w:b/>
          <w:sz w:val="28"/>
        </w:rPr>
        <w:t>4. Methodology &amp; Theoretical Framework</w:t>
      </w:r>
    </w:p>
    <w:p>
      <w:r>
        <w:rPr>
          <w:rFonts w:ascii="Times New Roman" w:hAnsi="Times New Roman"/>
          <w:b/>
          <w:i/>
          <w:sz w:val="24"/>
        </w:rPr>
        <w:t>4.1 System Overview</w:t>
      </w:r>
    </w:p>
    <w:p>
      <w:pPr>
        <w:spacing w:line="276" w:lineRule="auto" w:after="120"/>
      </w:pPr>
      <w:r>
        <w:rPr>
          <w:rFonts w:ascii="Times New Roman" w:hAnsi="Times New Roman"/>
        </w:rPr>
        <w:t>The flowchart below illustrates the end-to-end data flow and methodology of the **deepCDG-X** framework, showing both the training and inference phases.</w:t>
      </w:r>
    </w:p>
    <w:p>
      <w:pPr>
        <w:ind w:left="720"/>
      </w:pPr>
      <w:r>
        <w:rPr>
          <w:rFonts w:ascii="Courier New" w:hAnsi="Courier New"/>
          <w:sz w:val="18"/>
        </w:rPr>
        <w:t>flowchart TD</w:t>
        <w:br/>
      </w:r>
    </w:p>
    <w:p>
      <w:pPr>
        <w:ind w:left="720"/>
      </w:pPr>
      <w:r>
        <w:rPr>
          <w:rFonts w:ascii="Courier New" w:hAnsi="Courier New"/>
          <w:sz w:val="18"/>
        </w:rPr>
        <w:t xml:space="preserve">    subgraph DataPrep [Phase 1: Dataset Input &amp; Feature Construction]</w:t>
        <w:br/>
      </w:r>
    </w:p>
    <w:p>
      <w:pPr>
        <w:ind w:left="720"/>
      </w:pPr>
      <w:r>
        <w:rPr>
          <w:rFonts w:ascii="Courier New" w:hAnsi="Courier New"/>
          <w:sz w:val="18"/>
        </w:rPr>
        <w:t xml:space="preserve">        A["Raw H5 Dataset&lt;br&gt;(13,627 Genes, 64 Features)"] --&gt; B["Extract 4 Real-World Omics&lt;br&gt;(16 features per cancer type)"]</w:t>
        <w:br/>
      </w:r>
    </w:p>
    <w:p>
      <w:pPr>
        <w:ind w:left="720"/>
      </w:pPr>
      <w:r>
        <w:rPr>
          <w:rFonts w:ascii="Courier New" w:hAnsi="Courier New"/>
          <w:sz w:val="18"/>
        </w:rPr>
        <w:t xml:space="preserve">        B --&gt; B1["Mutation Frequency (MF)&lt;br&gt;(Cols 0-15)"]</w:t>
        <w:br/>
      </w:r>
    </w:p>
    <w:p>
      <w:pPr>
        <w:ind w:left="720"/>
      </w:pPr>
      <w:r>
        <w:rPr>
          <w:rFonts w:ascii="Courier New" w:hAnsi="Courier New"/>
          <w:sz w:val="18"/>
        </w:rPr>
        <w:t xml:space="preserve">        B --&gt; B2["DNA Methylation (METH)&lt;br&gt;(Cols 16-31)"]</w:t>
        <w:br/>
      </w:r>
    </w:p>
    <w:p>
      <w:pPr>
        <w:ind w:left="720"/>
      </w:pPr>
      <w:r>
        <w:rPr>
          <w:rFonts w:ascii="Courier New" w:hAnsi="Courier New"/>
          <w:sz w:val="18"/>
        </w:rPr>
        <w:t xml:space="preserve">        B --&gt; B3["Gene Expression (GE)&lt;br&gt;(Cols 32-47)"]</w:t>
        <w:br/>
      </w:r>
    </w:p>
    <w:p>
      <w:pPr>
        <w:ind w:left="720"/>
      </w:pPr>
      <w:r>
        <w:rPr>
          <w:rFonts w:ascii="Courier New" w:hAnsi="Courier New"/>
          <w:sz w:val="18"/>
        </w:rPr>
        <w:t xml:space="preserve">        B --&gt; B4["Copy Number Alterations (CNA)&lt;br&gt;(Cols 48-63)"]</w:t>
        <w:br/>
      </w:r>
    </w:p>
    <w:p>
      <w:pPr>
        <w:ind w:left="720"/>
      </w:pPr>
      <w:r>
        <w:rPr>
          <w:rFonts w:ascii="Courier New" w:hAnsi="Courier New"/>
          <w:sz w:val="18"/>
        </w:rPr>
        <w:t xml:space="preserve">        </w:t>
        <w:br/>
      </w:r>
    </w:p>
    <w:p>
      <w:pPr>
        <w:ind w:left="720"/>
      </w:pPr>
      <w:r>
        <w:rPr>
          <w:rFonts w:ascii="Courier New" w:hAnsi="Courier New"/>
          <w:sz w:val="18"/>
        </w:rPr>
        <w:t xml:space="preserve">        B1 &amp; B2 &amp; B3 &amp; B4 --&gt; C["Deterministic Generators"]</w:t>
        <w:br/>
      </w:r>
    </w:p>
    <w:p>
      <w:pPr>
        <w:ind w:left="720"/>
      </w:pPr>
      <w:r>
        <w:rPr>
          <w:rFonts w:ascii="Courier New" w:hAnsi="Courier New"/>
          <w:sz w:val="18"/>
        </w:rPr>
        <w:t xml:space="preserve">        C --&gt; C1["miRNA Target Profile&lt;br&gt;(Simulated)"]</w:t>
        <w:br/>
      </w:r>
    </w:p>
    <w:p>
      <w:pPr>
        <w:ind w:left="720"/>
      </w:pPr>
      <w:r>
        <w:rPr>
          <w:rFonts w:ascii="Courier New" w:hAnsi="Courier New"/>
          <w:sz w:val="18"/>
        </w:rPr>
        <w:t xml:space="preserve">        C --&gt; C2["Proteomics Profile&lt;br&gt;(Simulated)"]</w:t>
        <w:br/>
      </w:r>
    </w:p>
    <w:p>
      <w:pPr>
        <w:ind w:left="720"/>
      </w:pPr>
      <w:r>
        <w:rPr>
          <w:rFonts w:ascii="Courier New" w:hAnsi="Courier New"/>
          <w:sz w:val="18"/>
        </w:rPr>
        <w:t xml:space="preserve">    end</w:t>
        <w:br/>
      </w:r>
    </w:p>
    <w:p>
      <w:pPr>
        <w:ind w:left="720"/>
      </w:pPr>
      <w:r>
        <w:rPr>
          <w:rFonts w:ascii="Courier New" w:hAnsi="Courier New"/>
          <w:sz w:val="18"/>
        </w:rPr>
        <w:br/>
      </w:r>
    </w:p>
    <w:p>
      <w:pPr>
        <w:ind w:left="720"/>
      </w:pPr>
      <w:r>
        <w:rPr>
          <w:rFonts w:ascii="Courier New" w:hAnsi="Courier New"/>
          <w:sz w:val="18"/>
        </w:rPr>
        <w:t xml:space="preserve">    subgraph Pretraining [Phase 2: Self-Supervised pretraining]</w:t>
        <w:br/>
      </w:r>
    </w:p>
    <w:p>
      <w:pPr>
        <w:ind w:left="720"/>
      </w:pPr>
      <w:r>
        <w:rPr>
          <w:rFonts w:ascii="Courier New" w:hAnsi="Courier New"/>
          <w:sz w:val="18"/>
        </w:rPr>
        <w:t xml:space="preserve">        D["6-Omics Node Features&lt;br&gt;(96 total channels)"] --&gt; E["Graph Augmentations"]</w:t>
        <w:br/>
      </w:r>
    </w:p>
    <w:p>
      <w:pPr>
        <w:ind w:left="720"/>
      </w:pPr>
      <w:r>
        <w:rPr>
          <w:rFonts w:ascii="Courier New" w:hAnsi="Courier New"/>
          <w:sz w:val="18"/>
        </w:rPr>
        <w:t xml:space="preserve">        E --&gt; E1["View 1: 10% Edge Drop&lt;br&gt;+ 10% Feature Mask"]</w:t>
        <w:br/>
      </w:r>
    </w:p>
    <w:p>
      <w:pPr>
        <w:ind w:left="720"/>
      </w:pPr>
      <w:r>
        <w:rPr>
          <w:rFonts w:ascii="Courier New" w:hAnsi="Courier New"/>
          <w:sz w:val="18"/>
        </w:rPr>
        <w:t xml:space="preserve">        E --&gt; E2["View 2: 10% Edge Drop&lt;br&gt;+ 10% Feature Mask"]</w:t>
        <w:br/>
      </w:r>
    </w:p>
    <w:p>
      <w:pPr>
        <w:ind w:left="720"/>
      </w:pPr>
      <w:r>
        <w:rPr>
          <w:rFonts w:ascii="Courier New" w:hAnsi="Courier New"/>
          <w:sz w:val="18"/>
        </w:rPr>
        <w:t xml:space="preserve">        E1 &amp; E2 --&gt; F["GCN Encoder &amp; MHCA Fusion"]</w:t>
        <w:br/>
      </w:r>
    </w:p>
    <w:p>
      <w:pPr>
        <w:ind w:left="720"/>
      </w:pPr>
      <w:r>
        <w:rPr>
          <w:rFonts w:ascii="Courier New" w:hAnsi="Courier New"/>
          <w:sz w:val="18"/>
        </w:rPr>
        <w:t xml:space="preserve">        F --&gt; G["Compute InfoNCE Contrastive Loss"]</w:t>
        <w:br/>
      </w:r>
    </w:p>
    <w:p>
      <w:pPr>
        <w:ind w:left="720"/>
      </w:pPr>
      <w:r>
        <w:rPr>
          <w:rFonts w:ascii="Courier New" w:hAnsi="Courier New"/>
          <w:sz w:val="18"/>
        </w:rPr>
        <w:t xml:space="preserve">        G --&gt; H["Minimize Latent Distance for Same Genes&lt;br&gt;Maximize Distance for Different Genes"]</w:t>
        <w:br/>
      </w:r>
    </w:p>
    <w:p>
      <w:pPr>
        <w:ind w:left="720"/>
      </w:pPr>
      <w:r>
        <w:rPr>
          <w:rFonts w:ascii="Courier New" w:hAnsi="Courier New"/>
          <w:sz w:val="18"/>
        </w:rPr>
        <w:t xml:space="preserve">    end</w:t>
        <w:br/>
      </w:r>
    </w:p>
    <w:p>
      <w:pPr>
        <w:ind w:left="720"/>
      </w:pPr>
      <w:r>
        <w:rPr>
          <w:rFonts w:ascii="Courier New" w:hAnsi="Courier New"/>
          <w:sz w:val="18"/>
        </w:rPr>
        <w:br/>
      </w:r>
    </w:p>
    <w:p>
      <w:pPr>
        <w:ind w:left="720"/>
      </w:pPr>
      <w:r>
        <w:rPr>
          <w:rFonts w:ascii="Courier New" w:hAnsi="Courier New"/>
          <w:sz w:val="18"/>
        </w:rPr>
        <w:t xml:space="preserve">    subgraph FineTuning [Phase 3: Supervised LoRA Fine-Tuning]</w:t>
        <w:br/>
      </w:r>
    </w:p>
    <w:p>
      <w:pPr>
        <w:ind w:left="720"/>
      </w:pPr>
      <w:r>
        <w:rPr>
          <w:rFonts w:ascii="Courier New" w:hAnsi="Courier New"/>
          <w:sz w:val="18"/>
        </w:rPr>
        <w:t xml:space="preserve">        I["Stage Metadata (s in [1, 4])"] --&gt; J["Dynamic PPI Gating Network"]</w:t>
        <w:br/>
      </w:r>
    </w:p>
    <w:p>
      <w:pPr>
        <w:ind w:left="720"/>
      </w:pPr>
      <w:r>
        <w:rPr>
          <w:rFonts w:ascii="Courier New" w:hAnsi="Courier New"/>
          <w:sz w:val="18"/>
        </w:rPr>
        <w:t xml:space="preserve">        J --&gt; K["Compute Dynamic Edge Weights W_uv"]</w:t>
        <w:br/>
      </w:r>
    </w:p>
    <w:p>
      <w:pPr>
        <w:ind w:left="720"/>
      </w:pPr>
      <w:r>
        <w:rPr>
          <w:rFonts w:ascii="Courier New" w:hAnsi="Courier New"/>
          <w:sz w:val="18"/>
        </w:rPr>
        <w:t xml:space="preserve">        D --&gt; L["GCN Encoders"]</w:t>
        <w:br/>
      </w:r>
    </w:p>
    <w:p>
      <w:pPr>
        <w:ind w:left="720"/>
      </w:pPr>
      <w:r>
        <w:rPr>
          <w:rFonts w:ascii="Courier New" w:hAnsi="Courier New"/>
          <w:sz w:val="18"/>
        </w:rPr>
        <w:t xml:space="preserve">        L --&gt; M["Multi-Head Cross-Attention (MHCA) Fusion"]</w:t>
        <w:br/>
      </w:r>
    </w:p>
    <w:p>
      <w:pPr>
        <w:ind w:left="720"/>
      </w:pPr>
      <w:r>
        <w:rPr>
          <w:rFonts w:ascii="Courier New" w:hAnsi="Courier New"/>
          <w:sz w:val="18"/>
        </w:rPr>
        <w:t xml:space="preserve">        M --&gt; N["Fused Embeddings Z_u"]</w:t>
        <w:br/>
      </w:r>
    </w:p>
    <w:p>
      <w:pPr>
        <w:ind w:left="720"/>
      </w:pPr>
      <w:r>
        <w:rPr>
          <w:rFonts w:ascii="Courier New" w:hAnsi="Courier New"/>
          <w:sz w:val="18"/>
        </w:rPr>
        <w:t xml:space="preserve">        N &amp; K --&gt; O["Dynamic GCN Propagation"]</w:t>
        <w:br/>
      </w:r>
    </w:p>
    <w:p>
      <w:pPr>
        <w:ind w:left="720"/>
      </w:pPr>
      <w:r>
        <w:rPr>
          <w:rFonts w:ascii="Courier New" w:hAnsi="Courier New"/>
          <w:sz w:val="18"/>
        </w:rPr>
        <w:t xml:space="preserve">        O --&gt; P["Causal feature Masking (L1 Regularization)"]</w:t>
        <w:br/>
      </w:r>
    </w:p>
    <w:p>
      <w:pPr>
        <w:ind w:left="720"/>
      </w:pPr>
      <w:r>
        <w:rPr>
          <w:rFonts w:ascii="Courier New" w:hAnsi="Courier New"/>
          <w:sz w:val="18"/>
        </w:rPr>
        <w:t xml:space="preserve">        P --&gt; Q["Type-Specific LoRA Fine-Tuning&lt;br&gt;(Freezing Shared Weights W_0)"]</w:t>
        <w:br/>
      </w:r>
    </w:p>
    <w:p>
      <w:pPr>
        <w:ind w:left="720"/>
      </w:pPr>
      <w:r>
        <w:rPr>
          <w:rFonts w:ascii="Courier New" w:hAnsi="Courier New"/>
          <w:sz w:val="18"/>
        </w:rPr>
        <w:t xml:space="preserve">    end</w:t>
        <w:br/>
      </w:r>
    </w:p>
    <w:p>
      <w:pPr>
        <w:ind w:left="720"/>
      </w:pPr>
      <w:r>
        <w:rPr>
          <w:rFonts w:ascii="Courier New" w:hAnsi="Courier New"/>
          <w:sz w:val="18"/>
        </w:rPr>
        <w:br/>
      </w:r>
    </w:p>
    <w:p>
      <w:pPr>
        <w:ind w:left="720"/>
      </w:pPr>
      <w:r>
        <w:rPr>
          <w:rFonts w:ascii="Courier New" w:hAnsi="Courier New"/>
          <w:sz w:val="18"/>
        </w:rPr>
        <w:t xml:space="preserve">    subgraph Inference [Phase 4: Clinical Prediction &amp; Interpretability]</w:t>
        <w:br/>
      </w:r>
    </w:p>
    <w:p>
      <w:pPr>
        <w:ind w:left="720"/>
      </w:pPr>
      <w:r>
        <w:rPr>
          <w:rFonts w:ascii="Courier New" w:hAnsi="Courier New"/>
          <w:sz w:val="18"/>
        </w:rPr>
        <w:t xml:space="preserve">        Q --&gt; R["Monte Carlo (MC) Dropout Passes&lt;br&gt;(T = 30 passes with Dropout active)"]</w:t>
        <w:br/>
      </w:r>
    </w:p>
    <w:p>
      <w:pPr>
        <w:ind w:left="720"/>
      </w:pPr>
      <w:r>
        <w:rPr>
          <w:rFonts w:ascii="Courier New" w:hAnsi="Courier New"/>
          <w:sz w:val="18"/>
        </w:rPr>
        <w:t xml:space="preserve">        R --&gt; S["Calibrated Probability (Mean)"]</w:t>
        <w:br/>
      </w:r>
    </w:p>
    <w:p>
      <w:pPr>
        <w:ind w:left="720"/>
      </w:pPr>
      <w:r>
        <w:rPr>
          <w:rFonts w:ascii="Courier New" w:hAnsi="Courier New"/>
          <w:sz w:val="18"/>
        </w:rPr>
        <w:t xml:space="preserve">        R --&gt; T["Epistemic Uncertainty (Variance)"]</w:t>
        <w:br/>
      </w:r>
    </w:p>
    <w:p>
      <w:pPr>
        <w:ind w:left="720"/>
      </w:pPr>
      <w:r>
        <w:rPr>
          <w:rFonts w:ascii="Courier New" w:hAnsi="Courier New"/>
          <w:sz w:val="18"/>
        </w:rPr>
        <w:t xml:space="preserve">        Q --&gt; U["Counterfactual Explainer (CF-GNNExplainer)"]</w:t>
        <w:br/>
      </w:r>
    </w:p>
    <w:p>
      <w:pPr>
        <w:ind w:left="720"/>
      </w:pPr>
      <w:r>
        <w:rPr>
          <w:rFonts w:ascii="Courier New" w:hAnsi="Courier New"/>
          <w:sz w:val="18"/>
        </w:rPr>
        <w:t xml:space="preserve">        U --&gt; V["Minimal Edge perturbation to flip&lt;br&gt;Driver -&gt; Non-Driver prediction"]</w:t>
        <w:br/>
      </w:r>
    </w:p>
    <w:p>
      <w:pPr>
        <w:ind w:left="720"/>
      </w:pPr>
      <w:r>
        <w:rPr>
          <w:rFonts w:ascii="Courier New" w:hAnsi="Courier New"/>
          <w:sz w:val="18"/>
        </w:rPr>
        <w:t xml:space="preserve">    end</w:t>
        <w:br/>
      </w:r>
    </w:p>
    <w:p>
      <w:pPr>
        <w:ind w:left="720"/>
      </w:pPr>
      <w:r>
        <w:rPr>
          <w:rFonts w:ascii="Courier New" w:hAnsi="Courier New"/>
          <w:sz w:val="18"/>
        </w:rPr>
        <w:br/>
      </w:r>
    </w:p>
    <w:p>
      <w:pPr>
        <w:ind w:left="720"/>
      </w:pPr>
      <w:r>
        <w:rPr>
          <w:rFonts w:ascii="Courier New" w:hAnsi="Courier New"/>
          <w:sz w:val="18"/>
        </w:rPr>
        <w:t xml:space="preserve">    H -.-&gt; |Initialize encoder weights| L</w:t>
        <w:br/>
      </w:r>
    </w:p>
    <w:p>
      <w:r>
        <w:rPr>
          <w:rFonts w:ascii="Times New Roman" w:hAnsi="Times New Roman"/>
          <w:b/>
          <w:i/>
          <w:sz w:val="24"/>
        </w:rPr>
        <w:t>4.2 Detailed GNN Architecture</w:t>
      </w:r>
    </w:p>
    <w:p>
      <w:pPr>
        <w:spacing w:line="276" w:lineRule="auto" w:after="120"/>
      </w:pPr>
      <w:r>
        <w:rPr>
          <w:rFonts w:ascii="Times New Roman" w:hAnsi="Times New Roman"/>
        </w:rPr>
        <w:t>The diagram below details the internal layer connections, tensor shapes, and operations within the **deepCDG-X** network architecture.</w:t>
      </w:r>
    </w:p>
    <w:p>
      <w:pPr>
        <w:ind w:left="720"/>
      </w:pPr>
      <w:r>
        <w:rPr>
          <w:rFonts w:ascii="Courier New" w:hAnsi="Courier New"/>
          <w:sz w:val="18"/>
        </w:rPr>
        <w:t>graph TD</w:t>
        <w:br/>
      </w:r>
    </w:p>
    <w:p>
      <w:pPr>
        <w:ind w:left="720"/>
      </w:pPr>
      <w:r>
        <w:rPr>
          <w:rFonts w:ascii="Courier New" w:hAnsi="Courier New"/>
          <w:sz w:val="18"/>
        </w:rPr>
        <w:t xml:space="preserve">    %% Define Inputs</w:t>
        <w:br/>
      </w:r>
    </w:p>
    <w:p>
      <w:pPr>
        <w:ind w:left="720"/>
      </w:pPr>
      <w:r>
        <w:rPr>
          <w:rFonts w:ascii="Courier New" w:hAnsi="Courier New"/>
          <w:sz w:val="18"/>
        </w:rPr>
        <w:t xml:space="preserve">    x_input["Input Tensor x&lt;br&gt;Shape: [N, 64]"]</w:t>
        <w:br/>
      </w:r>
    </w:p>
    <w:p>
      <w:pPr>
        <w:ind w:left="720"/>
      </w:pPr>
      <w:r>
        <w:rPr>
          <w:rFonts w:ascii="Courier New" w:hAnsi="Courier New"/>
          <w:sz w:val="18"/>
        </w:rPr>
        <w:t xml:space="preserve">    edge_input["PPI Adjacency edge_index&lt;br&gt;Shape: [2, E]"]</w:t>
        <w:br/>
      </w:r>
    </w:p>
    <w:p>
      <w:pPr>
        <w:ind w:left="720"/>
      </w:pPr>
      <w:r>
        <w:rPr>
          <w:rFonts w:ascii="Courier New" w:hAnsi="Courier New"/>
          <w:sz w:val="18"/>
        </w:rPr>
        <w:t xml:space="preserve">    stage_input["Stage Metadata s&lt;br&gt;Shape: [1]"]</w:t>
        <w:br/>
      </w:r>
    </w:p>
    <w:p>
      <w:pPr>
        <w:ind w:left="720"/>
      </w:pPr>
      <w:r>
        <w:rPr>
          <w:rFonts w:ascii="Courier New" w:hAnsi="Courier New"/>
          <w:sz w:val="18"/>
        </w:rPr>
        <w:br/>
      </w:r>
    </w:p>
    <w:p>
      <w:pPr>
        <w:ind w:left="720"/>
      </w:pPr>
      <w:r>
        <w:rPr>
          <w:rFonts w:ascii="Courier New" w:hAnsi="Courier New"/>
          <w:sz w:val="18"/>
        </w:rPr>
        <w:t xml:space="preserve">    %% Omics Extraction</w:t>
        <w:br/>
      </w:r>
    </w:p>
    <w:p>
      <w:pPr>
        <w:ind w:left="720"/>
      </w:pPr>
      <w:r>
        <w:rPr>
          <w:rFonts w:ascii="Courier New" w:hAnsi="Courier New"/>
          <w:sz w:val="18"/>
        </w:rPr>
        <w:t xml:space="preserve">    subgraph FeatureExtractor [Omics Feature Slicing &amp; Projections]</w:t>
        <w:br/>
      </w:r>
    </w:p>
    <w:p>
      <w:pPr>
        <w:ind w:left="720"/>
      </w:pPr>
      <w:r>
        <w:rPr>
          <w:rFonts w:ascii="Courier New" w:hAnsi="Courier New"/>
          <w:sz w:val="18"/>
        </w:rPr>
        <w:t xml:space="preserve">        mut["Mutation Feature&lt;br&gt;[N, 16]"]</w:t>
        <w:br/>
      </w:r>
    </w:p>
    <w:p>
      <w:pPr>
        <w:ind w:left="720"/>
      </w:pPr>
      <w:r>
        <w:rPr>
          <w:rFonts w:ascii="Courier New" w:hAnsi="Courier New"/>
          <w:sz w:val="18"/>
        </w:rPr>
        <w:t xml:space="preserve">        meth["Methylation Feature&lt;br&gt;[N, 16]"]</w:t>
        <w:br/>
      </w:r>
    </w:p>
    <w:p>
      <w:pPr>
        <w:ind w:left="720"/>
      </w:pPr>
      <w:r>
        <w:rPr>
          <w:rFonts w:ascii="Courier New" w:hAnsi="Courier New"/>
          <w:sz w:val="18"/>
        </w:rPr>
        <w:t xml:space="preserve">        exp["Expression Feature&lt;br&gt;[N, 16]"]</w:t>
        <w:br/>
      </w:r>
    </w:p>
    <w:p>
      <w:pPr>
        <w:ind w:left="720"/>
      </w:pPr>
      <w:r>
        <w:rPr>
          <w:rFonts w:ascii="Courier New" w:hAnsi="Courier New"/>
          <w:sz w:val="18"/>
        </w:rPr>
        <w:t xml:space="preserve">        cna["CNA Feature&lt;br&gt;[N, 16]"]</w:t>
        <w:br/>
      </w:r>
    </w:p>
    <w:p>
      <w:pPr>
        <w:ind w:left="720"/>
      </w:pPr>
      <w:r>
        <w:rPr>
          <w:rFonts w:ascii="Courier New" w:hAnsi="Courier New"/>
          <w:sz w:val="18"/>
        </w:rPr>
        <w:t xml:space="preserve">        </w:t>
        <w:br/>
      </w:r>
    </w:p>
    <w:p>
      <w:pPr>
        <w:ind w:left="720"/>
      </w:pPr>
      <w:r>
        <w:rPr>
          <w:rFonts w:ascii="Courier New" w:hAnsi="Courier New"/>
          <w:sz w:val="18"/>
        </w:rPr>
        <w:t xml:space="preserve">        cnv_gen["CNV Generator&lt;br&gt;(Linear Projection)"]</w:t>
        <w:br/>
      </w:r>
    </w:p>
    <w:p>
      <w:pPr>
        <w:ind w:left="720"/>
      </w:pPr>
      <w:r>
        <w:rPr>
          <w:rFonts w:ascii="Courier New" w:hAnsi="Courier New"/>
          <w:sz w:val="18"/>
        </w:rPr>
        <w:t xml:space="preserve">        mirna_gen["miRNA Generator&lt;br&gt;(Linear Projection)"]</w:t>
        <w:br/>
      </w:r>
    </w:p>
    <w:p>
      <w:pPr>
        <w:ind w:left="720"/>
      </w:pPr>
      <w:r>
        <w:rPr>
          <w:rFonts w:ascii="Courier New" w:hAnsi="Courier New"/>
          <w:sz w:val="18"/>
        </w:rPr>
        <w:t xml:space="preserve">        prot_gen["Proteomics Generator&lt;br&gt;(Linear Projection)"]</w:t>
        <w:br/>
      </w:r>
    </w:p>
    <w:p>
      <w:pPr>
        <w:ind w:left="720"/>
      </w:pPr>
      <w:r>
        <w:rPr>
          <w:rFonts w:ascii="Courier New" w:hAnsi="Courier New"/>
          <w:sz w:val="18"/>
        </w:rPr>
        <w:t xml:space="preserve">        </w:t>
        <w:br/>
      </w:r>
    </w:p>
    <w:p>
      <w:pPr>
        <w:ind w:left="720"/>
      </w:pPr>
      <w:r>
        <w:rPr>
          <w:rFonts w:ascii="Courier New" w:hAnsi="Courier New"/>
          <w:sz w:val="18"/>
        </w:rPr>
        <w:t xml:space="preserve">        mirna["miRNA Feature&lt;br&gt;[N, 16]"]</w:t>
        <w:br/>
      </w:r>
    </w:p>
    <w:p>
      <w:pPr>
        <w:ind w:left="720"/>
      </w:pPr>
      <w:r>
        <w:rPr>
          <w:rFonts w:ascii="Courier New" w:hAnsi="Courier New"/>
          <w:sz w:val="18"/>
        </w:rPr>
        <w:t xml:space="preserve">        prot["Proteomics Feature&lt;br&gt;[N, 16]"]</w:t>
        <w:br/>
      </w:r>
    </w:p>
    <w:p>
      <w:pPr>
        <w:ind w:left="720"/>
      </w:pPr>
      <w:r>
        <w:rPr>
          <w:rFonts w:ascii="Courier New" w:hAnsi="Courier New"/>
          <w:sz w:val="18"/>
        </w:rPr>
        <w:t xml:space="preserve">    end</w:t>
        <w:br/>
      </w:r>
    </w:p>
    <w:p>
      <w:pPr>
        <w:ind w:left="720"/>
      </w:pPr>
      <w:r>
        <w:rPr>
          <w:rFonts w:ascii="Courier New" w:hAnsi="Courier New"/>
          <w:sz w:val="18"/>
        </w:rPr>
        <w:t xml:space="preserve">    </w:t>
        <w:br/>
      </w:r>
    </w:p>
    <w:p>
      <w:pPr>
        <w:ind w:left="720"/>
      </w:pPr>
      <w:r>
        <w:rPr>
          <w:rFonts w:ascii="Courier New" w:hAnsi="Courier New"/>
          <w:sz w:val="18"/>
        </w:rPr>
        <w:t xml:space="preserve">    x_input --&gt; mut</w:t>
        <w:br/>
      </w:r>
    </w:p>
    <w:p>
      <w:pPr>
        <w:ind w:left="720"/>
      </w:pPr>
      <w:r>
        <w:rPr>
          <w:rFonts w:ascii="Courier New" w:hAnsi="Courier New"/>
          <w:sz w:val="18"/>
        </w:rPr>
        <w:t xml:space="preserve">    x_input --&gt; meth</w:t>
        <w:br/>
      </w:r>
    </w:p>
    <w:p>
      <w:pPr>
        <w:ind w:left="720"/>
      </w:pPr>
      <w:r>
        <w:rPr>
          <w:rFonts w:ascii="Courier New" w:hAnsi="Courier New"/>
          <w:sz w:val="18"/>
        </w:rPr>
        <w:t xml:space="preserve">    x_input --&gt; exp</w:t>
        <w:br/>
      </w:r>
    </w:p>
    <w:p>
      <w:pPr>
        <w:ind w:left="720"/>
      </w:pPr>
      <w:r>
        <w:rPr>
          <w:rFonts w:ascii="Courier New" w:hAnsi="Courier New"/>
          <w:sz w:val="18"/>
        </w:rPr>
        <w:t xml:space="preserve">    x_input --&gt; cna</w:t>
        <w:br/>
      </w:r>
    </w:p>
    <w:p>
      <w:pPr>
        <w:ind w:left="720"/>
      </w:pPr>
      <w:r>
        <w:rPr>
          <w:rFonts w:ascii="Courier New" w:hAnsi="Courier New"/>
          <w:sz w:val="18"/>
        </w:rPr>
        <w:br/>
      </w:r>
    </w:p>
    <w:p>
      <w:pPr>
        <w:ind w:left="720"/>
      </w:pPr>
      <w:r>
        <w:rPr>
          <w:rFonts w:ascii="Courier New" w:hAnsi="Courier New"/>
          <w:sz w:val="18"/>
        </w:rPr>
        <w:t xml:space="preserve">    mut &amp; meth --&gt; cnv_gen --&gt; cna</w:t>
        <w:br/>
      </w:r>
    </w:p>
    <w:p>
      <w:pPr>
        <w:ind w:left="720"/>
      </w:pPr>
      <w:r>
        <w:rPr>
          <w:rFonts w:ascii="Courier New" w:hAnsi="Courier New"/>
          <w:sz w:val="18"/>
        </w:rPr>
        <w:t xml:space="preserve">    exp &amp; meth --&gt; mirna_gen --&gt; mirna</w:t>
        <w:br/>
      </w:r>
    </w:p>
    <w:p>
      <w:pPr>
        <w:ind w:left="720"/>
      </w:pPr>
      <w:r>
        <w:rPr>
          <w:rFonts w:ascii="Courier New" w:hAnsi="Courier New"/>
          <w:sz w:val="18"/>
        </w:rPr>
        <w:t xml:space="preserve">    exp --&gt; prot_gen --&gt; prot</w:t>
        <w:br/>
      </w:r>
    </w:p>
    <w:p>
      <w:pPr>
        <w:ind w:left="720"/>
      </w:pPr>
      <w:r>
        <w:rPr>
          <w:rFonts w:ascii="Courier New" w:hAnsi="Courier New"/>
          <w:sz w:val="18"/>
        </w:rPr>
        <w:br/>
      </w:r>
    </w:p>
    <w:p>
      <w:pPr>
        <w:ind w:left="720"/>
      </w:pPr>
      <w:r>
        <w:rPr>
          <w:rFonts w:ascii="Courier New" w:hAnsi="Courier New"/>
          <w:sz w:val="18"/>
        </w:rPr>
        <w:t xml:space="preserve">    %% GCN Encoders</w:t>
        <w:br/>
      </w:r>
    </w:p>
    <w:p>
      <w:pPr>
        <w:ind w:left="720"/>
      </w:pPr>
      <w:r>
        <w:rPr>
          <w:rFonts w:ascii="Courier New" w:hAnsi="Courier New"/>
          <w:sz w:val="18"/>
        </w:rPr>
        <w:t xml:space="preserve">    subgraph Encoders [GCN Local Encoders]</w:t>
        <w:br/>
      </w:r>
    </w:p>
    <w:p>
      <w:pPr>
        <w:ind w:left="720"/>
      </w:pPr>
      <w:r>
        <w:rPr>
          <w:rFonts w:ascii="Courier New" w:hAnsi="Courier New"/>
          <w:sz w:val="18"/>
        </w:rPr>
        <w:t xml:space="preserve">        enc_mut["Encoder 1 (MF)&lt;br&gt;[N, 48]"]</w:t>
        <w:br/>
      </w:r>
    </w:p>
    <w:p>
      <w:pPr>
        <w:ind w:left="720"/>
      </w:pPr>
      <w:r>
        <w:rPr>
          <w:rFonts w:ascii="Courier New" w:hAnsi="Courier New"/>
          <w:sz w:val="18"/>
        </w:rPr>
        <w:t xml:space="preserve">        enc_meth["Encoder 2 (METH)&lt;br&gt;[N, 48]"]</w:t>
        <w:br/>
      </w:r>
    </w:p>
    <w:p>
      <w:pPr>
        <w:ind w:left="720"/>
      </w:pPr>
      <w:r>
        <w:rPr>
          <w:rFonts w:ascii="Courier New" w:hAnsi="Courier New"/>
          <w:sz w:val="18"/>
        </w:rPr>
        <w:t xml:space="preserve">        enc_exp["Encoder 3 (GE)&lt;br&gt;[N, 48]"]</w:t>
        <w:br/>
      </w:r>
    </w:p>
    <w:p>
      <w:pPr>
        <w:ind w:left="720"/>
      </w:pPr>
      <w:r>
        <w:rPr>
          <w:rFonts w:ascii="Courier New" w:hAnsi="Courier New"/>
          <w:sz w:val="18"/>
        </w:rPr>
        <w:t xml:space="preserve">        enc_cna["Encoder 4 (CNA)&lt;br&gt;[N, 48]"]</w:t>
        <w:br/>
      </w:r>
    </w:p>
    <w:p>
      <w:pPr>
        <w:ind w:left="720"/>
      </w:pPr>
      <w:r>
        <w:rPr>
          <w:rFonts w:ascii="Courier New" w:hAnsi="Courier New"/>
          <w:sz w:val="18"/>
        </w:rPr>
        <w:t xml:space="preserve">        enc_mirna["Encoder 5 (miRNA)&lt;br&gt;[N, 48]"]</w:t>
        <w:br/>
      </w:r>
    </w:p>
    <w:p>
      <w:pPr>
        <w:ind w:left="720"/>
      </w:pPr>
      <w:r>
        <w:rPr>
          <w:rFonts w:ascii="Courier New" w:hAnsi="Courier New"/>
          <w:sz w:val="18"/>
        </w:rPr>
        <w:t xml:space="preserve">        enc_prot["Encoder 6 (Prot)&lt;br&gt;[N, 48]"]</w:t>
        <w:br/>
      </w:r>
    </w:p>
    <w:p>
      <w:pPr>
        <w:ind w:left="720"/>
      </w:pPr>
      <w:r>
        <w:rPr>
          <w:rFonts w:ascii="Courier New" w:hAnsi="Courier New"/>
          <w:sz w:val="18"/>
        </w:rPr>
        <w:t xml:space="preserve">    end</w:t>
        <w:br/>
      </w:r>
    </w:p>
    <w:p>
      <w:pPr>
        <w:ind w:left="720"/>
      </w:pPr>
      <w:r>
        <w:rPr>
          <w:rFonts w:ascii="Courier New" w:hAnsi="Courier New"/>
          <w:sz w:val="18"/>
        </w:rPr>
        <w:br/>
      </w:r>
    </w:p>
    <w:p>
      <w:pPr>
        <w:ind w:left="720"/>
      </w:pPr>
      <w:r>
        <w:rPr>
          <w:rFonts w:ascii="Courier New" w:hAnsi="Courier New"/>
          <w:sz w:val="18"/>
        </w:rPr>
        <w:t xml:space="preserve">    mut &amp; edge_input --&gt; enc_mut</w:t>
        <w:br/>
      </w:r>
    </w:p>
    <w:p>
      <w:pPr>
        <w:ind w:left="720"/>
      </w:pPr>
      <w:r>
        <w:rPr>
          <w:rFonts w:ascii="Courier New" w:hAnsi="Courier New"/>
          <w:sz w:val="18"/>
        </w:rPr>
        <w:t xml:space="preserve">    meth &amp; edge_input --&gt; enc_meth</w:t>
        <w:br/>
      </w:r>
    </w:p>
    <w:p>
      <w:pPr>
        <w:ind w:left="720"/>
      </w:pPr>
      <w:r>
        <w:rPr>
          <w:rFonts w:ascii="Courier New" w:hAnsi="Courier New"/>
          <w:sz w:val="18"/>
        </w:rPr>
        <w:t xml:space="preserve">    exp &amp; edge_input --&gt; enc_exp</w:t>
        <w:br/>
      </w:r>
    </w:p>
    <w:p>
      <w:pPr>
        <w:ind w:left="720"/>
      </w:pPr>
      <w:r>
        <w:rPr>
          <w:rFonts w:ascii="Courier New" w:hAnsi="Courier New"/>
          <w:sz w:val="18"/>
        </w:rPr>
        <w:t xml:space="preserve">    cna &amp; edge_input --&gt; enc_cna</w:t>
        <w:br/>
      </w:r>
    </w:p>
    <w:p>
      <w:pPr>
        <w:ind w:left="720"/>
      </w:pPr>
      <w:r>
        <w:rPr>
          <w:rFonts w:ascii="Courier New" w:hAnsi="Courier New"/>
          <w:sz w:val="18"/>
        </w:rPr>
        <w:t xml:space="preserve">    mirna &amp; edge_input --&gt; enc_mirna</w:t>
        <w:br/>
      </w:r>
    </w:p>
    <w:p>
      <w:pPr>
        <w:ind w:left="720"/>
      </w:pPr>
      <w:r>
        <w:rPr>
          <w:rFonts w:ascii="Courier New" w:hAnsi="Courier New"/>
          <w:sz w:val="18"/>
        </w:rPr>
        <w:t xml:space="preserve">    prot &amp; edge_input --&gt; enc_prot</w:t>
        <w:br/>
      </w:r>
    </w:p>
    <w:p>
      <w:pPr>
        <w:ind w:left="720"/>
      </w:pPr>
      <w:r>
        <w:rPr>
          <w:rFonts w:ascii="Courier New" w:hAnsi="Courier New"/>
          <w:sz w:val="18"/>
        </w:rPr>
        <w:br/>
      </w:r>
    </w:p>
    <w:p>
      <w:pPr>
        <w:ind w:left="720"/>
      </w:pPr>
      <w:r>
        <w:rPr>
          <w:rFonts w:ascii="Courier New" w:hAnsi="Courier New"/>
          <w:sz w:val="18"/>
        </w:rPr>
        <w:t xml:space="preserve">    %% Fusion block</w:t>
        <w:br/>
      </w:r>
    </w:p>
    <w:p>
      <w:pPr>
        <w:ind w:left="720"/>
      </w:pPr>
      <w:r>
        <w:rPr>
          <w:rFonts w:ascii="Courier New" w:hAnsi="Courier New"/>
          <w:sz w:val="18"/>
        </w:rPr>
        <w:t xml:space="preserve">    subgraph MHCA_Fusion [Multi-Head Cross-Attention Fusion]</w:t>
        <w:br/>
      </w:r>
    </w:p>
    <w:p>
      <w:pPr>
        <w:ind w:left="720"/>
      </w:pPr>
      <w:r>
        <w:rPr>
          <w:rFonts w:ascii="Courier New" w:hAnsi="Courier New"/>
          <w:sz w:val="18"/>
        </w:rPr>
        <w:t xml:space="preserve">        stack["Stack Embeddings&lt;br&gt;Shape: [6, N, 48]"]</w:t>
        <w:br/>
      </w:r>
    </w:p>
    <w:p>
      <w:pPr>
        <w:ind w:left="720"/>
      </w:pPr>
      <w:r>
        <w:rPr>
          <w:rFonts w:ascii="Courier New" w:hAnsi="Courier New"/>
          <w:sz w:val="18"/>
        </w:rPr>
        <w:t xml:space="preserve">        mha["nn.MultiheadAttention&lt;br&gt;(num_heads=4)"]</w:t>
        <w:br/>
      </w:r>
    </w:p>
    <w:p>
      <w:pPr>
        <w:ind w:left="720"/>
      </w:pPr>
      <w:r>
        <w:rPr>
          <w:rFonts w:ascii="Courier New" w:hAnsi="Courier New"/>
          <w:sz w:val="18"/>
        </w:rPr>
        <w:t xml:space="preserve">        flatten["Flatten Sequence&lt;br&gt;Shape: [N, 288]"]</w:t>
        <w:br/>
      </w:r>
    </w:p>
    <w:p>
      <w:pPr>
        <w:ind w:left="720"/>
      </w:pPr>
      <w:r>
        <w:rPr>
          <w:rFonts w:ascii="Courier New" w:hAnsi="Courier New"/>
          <w:sz w:val="18"/>
        </w:rPr>
        <w:t xml:space="preserve">        proj["Fusion Projection&lt;br&gt;Shape: [N, 48]"]</w:t>
        <w:br/>
      </w:r>
    </w:p>
    <w:p>
      <w:pPr>
        <w:ind w:left="720"/>
      </w:pPr>
      <w:r>
        <w:rPr>
          <w:rFonts w:ascii="Courier New" w:hAnsi="Courier New"/>
          <w:sz w:val="18"/>
        </w:rPr>
        <w:t xml:space="preserve">    end</w:t>
        <w:br/>
      </w:r>
    </w:p>
    <w:p>
      <w:pPr>
        <w:ind w:left="720"/>
      </w:pPr>
      <w:r>
        <w:rPr>
          <w:rFonts w:ascii="Courier New" w:hAnsi="Courier New"/>
          <w:sz w:val="18"/>
        </w:rPr>
        <w:br/>
      </w:r>
    </w:p>
    <w:p>
      <w:pPr>
        <w:ind w:left="720"/>
      </w:pPr>
      <w:r>
        <w:rPr>
          <w:rFonts w:ascii="Courier New" w:hAnsi="Courier New"/>
          <w:sz w:val="18"/>
        </w:rPr>
        <w:t xml:space="preserve">    enc_mut &amp; enc_meth &amp; enc_exp &amp; enc_cna &amp; enc_mirna &amp; enc_prot --&gt; stack</w:t>
        <w:br/>
      </w:r>
    </w:p>
    <w:p>
      <w:pPr>
        <w:ind w:left="720"/>
      </w:pPr>
      <w:r>
        <w:rPr>
          <w:rFonts w:ascii="Courier New" w:hAnsi="Courier New"/>
          <w:sz w:val="18"/>
        </w:rPr>
        <w:t xml:space="preserve">    stack --&gt; mha</w:t>
        <w:br/>
      </w:r>
    </w:p>
    <w:p>
      <w:pPr>
        <w:ind w:left="720"/>
      </w:pPr>
      <w:r>
        <w:rPr>
          <w:rFonts w:ascii="Courier New" w:hAnsi="Courier New"/>
          <w:sz w:val="18"/>
        </w:rPr>
        <w:t xml:space="preserve">    mha --&gt; flatten</w:t>
        <w:br/>
      </w:r>
    </w:p>
    <w:p>
      <w:pPr>
        <w:ind w:left="720"/>
      </w:pPr>
      <w:r>
        <w:rPr>
          <w:rFonts w:ascii="Courier New" w:hAnsi="Courier New"/>
          <w:sz w:val="18"/>
        </w:rPr>
        <w:t xml:space="preserve">    flatten --&gt; proj</w:t>
        <w:br/>
      </w:r>
    </w:p>
    <w:p>
      <w:pPr>
        <w:ind w:left="720"/>
      </w:pPr>
      <w:r>
        <w:rPr>
          <w:rFonts w:ascii="Courier New" w:hAnsi="Courier New"/>
          <w:sz w:val="18"/>
        </w:rPr>
        <w:br/>
      </w:r>
    </w:p>
    <w:p>
      <w:pPr>
        <w:ind w:left="720"/>
      </w:pPr>
      <w:r>
        <w:rPr>
          <w:rFonts w:ascii="Courier New" w:hAnsi="Courier New"/>
          <w:sz w:val="18"/>
        </w:rPr>
        <w:t xml:space="preserve">    %% Dynamic Gating and Causal Gating</w:t>
        <w:br/>
      </w:r>
    </w:p>
    <w:p>
      <w:pPr>
        <w:ind w:left="720"/>
      </w:pPr>
      <w:r>
        <w:rPr>
          <w:rFonts w:ascii="Courier New" w:hAnsi="Courier New"/>
          <w:sz w:val="18"/>
        </w:rPr>
        <w:t xml:space="preserve">    subgraph GatingAndFilter [Stage Gating &amp; Causal Filtering]</w:t>
        <w:br/>
      </w:r>
    </w:p>
    <w:p>
      <w:pPr>
        <w:ind w:left="720"/>
      </w:pPr>
      <w:r>
        <w:rPr>
          <w:rFonts w:ascii="Courier New" w:hAnsi="Courier New"/>
          <w:sz w:val="18"/>
        </w:rPr>
        <w:t xml:space="preserve">        stage_emb["Stage Linear Embedder&lt;br&gt;Shape: [1, 16]"]</w:t>
        <w:br/>
      </w:r>
    </w:p>
    <w:p>
      <w:pPr>
        <w:ind w:left="720"/>
      </w:pPr>
      <w:r>
        <w:rPr>
          <w:rFonts w:ascii="Courier New" w:hAnsi="Courier New"/>
          <w:sz w:val="18"/>
        </w:rPr>
        <w:t xml:space="preserve">        ppi_gate["Adjacency Gating MLP&lt;br&gt;Shape: [E]"]</w:t>
        <w:br/>
      </w:r>
    </w:p>
    <w:p>
      <w:pPr>
        <w:ind w:left="720"/>
      </w:pPr>
      <w:r>
        <w:rPr>
          <w:rFonts w:ascii="Courier New" w:hAnsi="Courier New"/>
          <w:sz w:val="18"/>
        </w:rPr>
        <w:t xml:space="preserve">        causal_gate["Causal Feature Gate&lt;br&gt;Shape: [N, 48]"]</w:t>
        <w:br/>
      </w:r>
    </w:p>
    <w:p>
      <w:pPr>
        <w:ind w:left="720"/>
      </w:pPr>
      <w:r>
        <w:rPr>
          <w:rFonts w:ascii="Courier New" w:hAnsi="Courier New"/>
          <w:sz w:val="18"/>
        </w:rPr>
        <w:t xml:space="preserve">    end</w:t>
        <w:br/>
      </w:r>
    </w:p>
    <w:p>
      <w:pPr>
        <w:ind w:left="720"/>
      </w:pPr>
      <w:r>
        <w:rPr>
          <w:rFonts w:ascii="Courier New" w:hAnsi="Courier New"/>
          <w:sz w:val="18"/>
        </w:rPr>
        <w:br/>
      </w:r>
    </w:p>
    <w:p>
      <w:pPr>
        <w:ind w:left="720"/>
      </w:pPr>
      <w:r>
        <w:rPr>
          <w:rFonts w:ascii="Courier New" w:hAnsi="Courier New"/>
          <w:sz w:val="18"/>
        </w:rPr>
        <w:t xml:space="preserve">    stage_input --&gt; stage_emb</w:t>
        <w:br/>
      </w:r>
    </w:p>
    <w:p>
      <w:pPr>
        <w:ind w:left="720"/>
      </w:pPr>
      <w:r>
        <w:rPr>
          <w:rFonts w:ascii="Courier New" w:hAnsi="Courier New"/>
          <w:sz w:val="18"/>
        </w:rPr>
        <w:t xml:space="preserve">    proj &amp; edge_input &amp; stage_emb --&gt; ppi_gate</w:t>
        <w:br/>
      </w:r>
    </w:p>
    <w:p>
      <w:pPr>
        <w:ind w:left="720"/>
      </w:pPr>
      <w:r>
        <w:rPr>
          <w:rFonts w:ascii="Courier New" w:hAnsi="Courier New"/>
          <w:sz w:val="18"/>
        </w:rPr>
        <w:t xml:space="preserve">    proj --&gt; causal_gate</w:t>
        <w:br/>
      </w:r>
    </w:p>
    <w:p>
      <w:pPr>
        <w:ind w:left="720"/>
      </w:pPr>
      <w:r>
        <w:rPr>
          <w:rFonts w:ascii="Courier New" w:hAnsi="Courier New"/>
          <w:sz w:val="18"/>
        </w:rPr>
        <w:br/>
      </w:r>
    </w:p>
    <w:p>
      <w:pPr>
        <w:ind w:left="720"/>
      </w:pPr>
      <w:r>
        <w:rPr>
          <w:rFonts w:ascii="Courier New" w:hAnsi="Courier New"/>
          <w:sz w:val="18"/>
        </w:rPr>
        <w:t xml:space="preserve">    %% Classifier GCN with LoRA</w:t>
        <w:br/>
      </w:r>
    </w:p>
    <w:p>
      <w:pPr>
        <w:ind w:left="720"/>
      </w:pPr>
      <w:r>
        <w:rPr>
          <w:rFonts w:ascii="Courier New" w:hAnsi="Courier New"/>
          <w:sz w:val="18"/>
        </w:rPr>
        <w:t xml:space="preserve">    subgraph PredictionHead [Dynamic GCN Classifier &amp; LoRA Adapters]</w:t>
        <w:br/>
      </w:r>
    </w:p>
    <w:p>
      <w:pPr>
        <w:ind w:left="720"/>
      </w:pPr>
      <w:r>
        <w:rPr>
          <w:rFonts w:ascii="Courier New" w:hAnsi="Courier New"/>
          <w:sz w:val="18"/>
        </w:rPr>
        <w:t xml:space="preserve">        gcn_proj["GCNConvX&lt;br&gt;(Shared W_0 + LoRA Adapters)&lt;br&gt;Shape: [N, 100]"]</w:t>
        <w:br/>
      </w:r>
    </w:p>
    <w:p>
      <w:pPr>
        <w:ind w:left="720"/>
      </w:pPr>
      <w:r>
        <w:rPr>
          <w:rFonts w:ascii="Courier New" w:hAnsi="Courier New"/>
          <w:sz w:val="18"/>
        </w:rPr>
        <w:t xml:space="preserve">        gcn_class["Classifier GCNX&lt;br&gt;(Shared W_0 + LoRA Adapters)&lt;br&gt;Shape: [N, 1]"]</w:t>
        <w:br/>
      </w:r>
    </w:p>
    <w:p>
      <w:pPr>
        <w:ind w:left="720"/>
      </w:pPr>
      <w:r>
        <w:rPr>
          <w:rFonts w:ascii="Courier New" w:hAnsi="Courier New"/>
          <w:sz w:val="18"/>
        </w:rPr>
        <w:t xml:space="preserve">    end</w:t>
        <w:br/>
      </w:r>
    </w:p>
    <w:p>
      <w:pPr>
        <w:ind w:left="720"/>
      </w:pPr>
      <w:r>
        <w:rPr>
          <w:rFonts w:ascii="Courier New" w:hAnsi="Courier New"/>
          <w:sz w:val="18"/>
        </w:rPr>
        <w:br/>
      </w:r>
    </w:p>
    <w:p>
      <w:pPr>
        <w:ind w:left="720"/>
      </w:pPr>
      <w:r>
        <w:rPr>
          <w:rFonts w:ascii="Courier New" w:hAnsi="Courier New"/>
          <w:sz w:val="18"/>
        </w:rPr>
        <w:t xml:space="preserve">    causal_gate &amp; edge_input &amp; ppi_gate --&gt; gcn_proj</w:t>
        <w:br/>
      </w:r>
    </w:p>
    <w:p>
      <w:pPr>
        <w:ind w:left="720"/>
      </w:pPr>
      <w:r>
        <w:rPr>
          <w:rFonts w:ascii="Courier New" w:hAnsi="Courier New"/>
          <w:sz w:val="18"/>
        </w:rPr>
        <w:t xml:space="preserve">    gcn_proj &amp; edge_input &amp; ppi_gate --&gt; gcn_class</w:t>
        <w:br/>
      </w:r>
    </w:p>
    <w:p>
      <w:pPr>
        <w:ind w:left="720"/>
      </w:pPr>
      <w:r>
        <w:rPr>
          <w:rFonts w:ascii="Courier New" w:hAnsi="Courier New"/>
          <w:sz w:val="18"/>
        </w:rPr>
        <w:t xml:space="preserve">    gcn_class --&gt; Output["Prediction Logits&lt;br&gt;Shape: [N, 1]"]</w:t>
        <w:br/>
      </w:r>
    </w:p>
    <w:p>
      <w:r>
        <w:rPr>
          <w:rFonts w:ascii="Times New Roman" w:hAnsi="Times New Roman"/>
          <w:b/>
          <w:i/>
          <w:sz w:val="24"/>
        </w:rPr>
        <w:t>4.3 6-Omics Projection and Encoding</w:t>
      </w:r>
    </w:p>
    <w:p>
      <w:pPr>
        <w:spacing w:line="276" w:lineRule="auto" w:after="120"/>
      </w:pPr>
      <w:r>
        <w:rPr>
          <w:rFonts w:ascii="Times New Roman" w:hAnsi="Times New Roman"/>
        </w:rPr>
        <w:t>Given the input matrix $X$, we slice it into MF, METH, GE, and CNA. The remaining two profiles are generated dynamically:</w:t>
      </w:r>
    </w:p>
    <w:p>
      <w:pPr>
        <w:spacing w:line="276" w:lineRule="auto" w:after="120"/>
      </w:pPr>
      <w:r>
        <w:rPr>
          <w:rFonts w:ascii="Times New Roman" w:hAnsi="Times New Roman"/>
        </w:rPr>
        <w:t>$$X^{miRNA} = \text{Linear}_{miRNA}([X^{GE} \mathbin{\Vert} X^{METH}])$$</w:t>
      </w:r>
    </w:p>
    <w:p>
      <w:pPr>
        <w:spacing w:line="276" w:lineRule="auto" w:after="120"/>
      </w:pPr>
      <w:r>
        <w:rPr>
          <w:rFonts w:ascii="Times New Roman" w:hAnsi="Times New Roman"/>
        </w:rPr>
        <w:t>$$X^{Prot} = \text{Linear}_{Prot}(X^{GE})$$</w:t>
      </w:r>
    </w:p>
    <w:p>
      <w:pPr>
        <w:spacing w:line="276" w:lineRule="auto" w:after="120"/>
      </w:pPr>
      <w:r>
        <w:rPr>
          <w:rFonts w:ascii="Times New Roman" w:hAnsi="Times New Roman"/>
        </w:rPr>
        <w:t>This yields 6 omics matrices $X^m \in \mathbb{R}^{N \times 16}$. Each $X^m$ is encoded using GCN layers:</w:t>
      </w:r>
    </w:p>
    <w:p>
      <w:pPr>
        <w:spacing w:line="276" w:lineRule="auto" w:after="120"/>
      </w:pPr>
      <w:r>
        <w:rPr>
          <w:rFonts w:ascii="Times New Roman" w:hAnsi="Times New Roman"/>
        </w:rPr>
        <w:t>$$h_i^m = \text{ReLU}\left( \text{GCNConv}(X^m, A)_i + \text{Linear}(X^m)_i \right)$$</w:t>
      </w:r>
    </w:p>
    <w:p>
      <w:pPr>
        <w:spacing w:line="276" w:lineRule="auto" w:after="120"/>
      </w:pPr>
      <w:r>
        <w:rPr>
          <w:rFonts w:ascii="Times New Roman" w:hAnsi="Times New Roman"/>
        </w:rPr>
        <w:t>yielding localized representations $h_i^m \in \mathbb{R}^{48}$.</w:t>
      </w:r>
    </w:p>
    <w:p>
      <w:r>
        <w:rPr>
          <w:rFonts w:ascii="Times New Roman" w:hAnsi="Times New Roman"/>
          <w:b/>
          <w:i/>
          <w:sz w:val="24"/>
        </w:rPr>
        <w:t>4.4 Multi-Head Cross-Attention (MHCA) Fusion</w:t>
      </w:r>
    </w:p>
    <w:p>
      <w:pPr>
        <w:spacing w:line="276" w:lineRule="auto" w:after="120"/>
      </w:pPr>
      <w:r>
        <w:rPr>
          <w:rFonts w:ascii="Times New Roman" w:hAnsi="Times New Roman"/>
        </w:rPr>
        <w:t>To capture high-order cross-modal interactions, we view the 6 omics embeddings as sequence tokens and apply a 4-head self-attention Transformer block:</w:t>
      </w:r>
    </w:p>
    <w:p>
      <w:pPr>
        <w:spacing w:line="276" w:lineRule="auto" w:after="120"/>
      </w:pPr>
      <w:r>
        <w:rPr>
          <w:rFonts w:ascii="Times New Roman" w:hAnsi="Times New Roman"/>
        </w:rPr>
        <w:t>$$H_i = \text{MHCA}(h_i, h_i, h_i) = \text{Concat}(\text{head}_1, \dots, \text{head}_4) W^O$$</w:t>
      </w:r>
    </w:p>
    <w:p>
      <w:pPr>
        <w:spacing w:line="276" w:lineRule="auto" w:after="120"/>
      </w:pPr>
      <w:r>
        <w:rPr>
          <w:rFonts w:ascii="Times New Roman" w:hAnsi="Times New Roman"/>
        </w:rPr>
        <w:t>$$\text{head}_j = \text{softmax}\left(\frac{(h_i W_j^Q)(h_i W_j^K)^T}{\sqrt{d_k}}\right)(h_i W_j^V)$$</w:t>
      </w:r>
    </w:p>
    <w:p>
      <w:pPr>
        <w:spacing w:line="276" w:lineRule="auto" w:after="120"/>
      </w:pPr>
      <w:r>
        <w:rPr>
          <w:rFonts w:ascii="Times New Roman" w:hAnsi="Times New Roman"/>
        </w:rPr>
        <w:t>The outputs are flattened and projected to form a unified representation:</w:t>
      </w:r>
    </w:p>
    <w:p>
      <w:pPr>
        <w:spacing w:line="276" w:lineRule="auto" w:after="120"/>
      </w:pPr>
      <w:r>
        <w:rPr>
          <w:rFonts w:ascii="Times New Roman" w:hAnsi="Times New Roman"/>
        </w:rPr>
        <w:t>$$z_i = \text{Linear}(\text{Flatten}(H_i)) \in \mathbb{R}^{48}$$</w:t>
      </w:r>
    </w:p>
    <w:p>
      <w:r>
        <w:rPr>
          <w:rFonts w:ascii="Times New Roman" w:hAnsi="Times New Roman"/>
          <w:b/>
          <w:i/>
          <w:sz w:val="24"/>
        </w:rPr>
        <w:t>4.5 Stage-Conditioned Dynamic PPI Gating</w:t>
      </w:r>
    </w:p>
    <w:p>
      <w:pPr>
        <w:spacing w:line="276" w:lineRule="auto" w:after="120"/>
      </w:pPr>
      <w:r>
        <w:rPr>
          <w:rFonts w:ascii="Times New Roman" w:hAnsi="Times New Roman"/>
        </w:rPr>
        <w:t>To model context-specific network dynamics, we condition edge weights on cohort stage metadata $s \in [1, 4]$. The stage value is embedded:</w:t>
      </w:r>
    </w:p>
    <w:p>
      <w:pPr>
        <w:spacing w:line="276" w:lineRule="auto" w:after="120"/>
      </w:pPr>
      <w:r>
        <w:rPr>
          <w:rFonts w:ascii="Times New Roman" w:hAnsi="Times New Roman"/>
        </w:rPr>
        <w:t>$$E_s = \text{Linear}(\text{stage})$$</w:t>
      </w:r>
    </w:p>
    <w:p>
      <w:pPr>
        <w:spacing w:line="276" w:lineRule="auto" w:after="120"/>
      </w:pPr>
      <w:r>
        <w:rPr>
          <w:rFonts w:ascii="Times New Roman" w:hAnsi="Times New Roman"/>
        </w:rPr>
        <w:t>For each edge $(u, v)$, we compute a stage-conditioned dynamic weight $W_{uv}(s)$:</w:t>
      </w:r>
    </w:p>
    <w:p>
      <w:pPr>
        <w:spacing w:line="276" w:lineRule="auto" w:after="120"/>
      </w:pPr>
      <w:r>
        <w:rPr>
          <w:rFonts w:ascii="Times New Roman" w:hAnsi="Times New Roman"/>
        </w:rPr>
        <w:t>$$W_{uv}(s) = \text{Sigmoid}\left(\text{MLP}([z_u \mathbin{\Vert} z_v \mathbin{\Vert} E_s])\right)$$</w:t>
      </w:r>
    </w:p>
    <w:p>
      <w:pPr>
        <w:spacing w:line="276" w:lineRule="auto" w:after="120"/>
      </w:pPr>
      <w:r>
        <w:rPr>
          <w:rFonts w:ascii="Times New Roman" w:hAnsi="Times New Roman"/>
        </w:rPr>
        <w:t>This weight gates GCN message passing:</w:t>
      </w:r>
    </w:p>
    <w:p>
      <w:pPr>
        <w:spacing w:line="276" w:lineRule="auto" w:after="120"/>
      </w:pPr>
      <w:r>
        <w:rPr>
          <w:rFonts w:ascii="Times New Roman" w:hAnsi="Times New Roman"/>
        </w:rPr>
        <w:t>$$H^{(l+1)} = \text{ReLU}\left(\tilde{D}^{-1/2} \tilde{A}(s) \tilde{D}^{-1/2} H^{(l)} W^{(l)}\right)$$</w:t>
      </w:r>
    </w:p>
    <w:p>
      <w:pPr>
        <w:spacing w:line="276" w:lineRule="auto" w:after="120"/>
      </w:pPr>
      <w:r>
        <w:rPr>
          <w:rFonts w:ascii="Times New Roman" w:hAnsi="Times New Roman"/>
        </w:rPr>
        <w:t>where $\tilde{A}(s)$ is the adjacency matrix scaled by $W_{uv}(s)$.</w:t>
      </w:r>
    </w:p>
    <w:p>
      <w:r>
        <w:rPr>
          <w:rFonts w:ascii="Times New Roman" w:hAnsi="Times New Roman"/>
          <w:b/>
          <w:i/>
          <w:sz w:val="24"/>
        </w:rPr>
        <w:t>4.6 Causal Feature Filtering</w:t>
      </w:r>
    </w:p>
    <w:p>
      <w:pPr>
        <w:spacing w:line="276" w:lineRule="auto" w:after="120"/>
      </w:pPr>
      <w:r>
        <w:rPr>
          <w:rFonts w:ascii="Times New Roman" w:hAnsi="Times New Roman"/>
        </w:rPr>
        <w:t>We apply a causal feature selector before the classifier to remove spurious correlations:</w:t>
      </w:r>
    </w:p>
    <w:p>
      <w:pPr>
        <w:spacing w:line="276" w:lineRule="auto" w:after="120"/>
      </w:pPr>
      <w:r>
        <w:rPr>
          <w:rFonts w:ascii="Times New Roman" w:hAnsi="Times New Roman"/>
        </w:rPr>
        <w:t>$$Mask_{causal} = \text{Sigmoid}(\text{Linear}(z_i))$$</w:t>
      </w:r>
    </w:p>
    <w:p>
      <w:pPr>
        <w:spacing w:line="276" w:lineRule="auto" w:after="120"/>
      </w:pPr>
      <w:r>
        <w:rPr>
          <w:rFonts w:ascii="Times New Roman" w:hAnsi="Times New Roman"/>
        </w:rPr>
        <w:t>$$z_i^{causal} = z_i \odot Mask_{causal}$$</w:t>
      </w:r>
    </w:p>
    <w:p>
      <w:pPr>
        <w:spacing w:line="276" w:lineRule="auto" w:after="120"/>
      </w:pPr>
      <w:r>
        <w:rPr>
          <w:rFonts w:ascii="Times New Roman" w:hAnsi="Times New Roman"/>
        </w:rPr>
        <w:t>We apply an L1 regularization penalty on the mask to encourage sparse, causal features:</w:t>
      </w:r>
    </w:p>
    <w:p>
      <w:pPr>
        <w:spacing w:line="276" w:lineRule="auto" w:after="120"/>
      </w:pPr>
      <w:r>
        <w:rPr>
          <w:rFonts w:ascii="Times New Roman" w:hAnsi="Times New Roman"/>
        </w:rPr>
        <w:t>$$\mathcal{L}_{causal} = \frac{1}{N} \sum_{i=1}^N |Mask_{causal}|$$</w:t>
      </w:r>
    </w:p>
    <w:p>
      <w:r>
        <w:rPr>
          <w:rFonts w:ascii="Times New Roman" w:hAnsi="Times New Roman"/>
          <w:b/>
          <w:i/>
          <w:sz w:val="24"/>
        </w:rPr>
        <w:t>4.7 Loss Formulation &amp; Optimization</w:t>
      </w:r>
    </w:p>
    <w:p>
      <w:pPr>
        <w:spacing w:line="276" w:lineRule="auto" w:after="120"/>
      </w:pPr>
      <w:r>
        <w:rPr>
          <w:rFonts w:ascii="Times New Roman" w:hAnsi="Times New Roman"/>
        </w:rPr>
        <w:t>We train deepCDG-X using a two-phase optimization loop:</w:t>
      </w:r>
    </w:p>
    <w:p>
      <w:pPr>
        <w:spacing w:line="276" w:lineRule="auto" w:after="120"/>
      </w:pPr>
      <w:r>
        <w:rPr>
          <w:rFonts w:ascii="Times New Roman" w:hAnsi="Times New Roman"/>
        </w:rPr>
        <w:t>1. **Phase 1 (Graph Contrastive Learning)**: We pretrain the encoders using feature-masking and edge-dropping graph augmentations to minimize the InfoNCE loss:</w:t>
      </w:r>
    </w:p>
    <w:p>
      <w:pPr>
        <w:spacing w:line="276" w:lineRule="auto" w:after="120"/>
      </w:pPr>
      <w:r>
        <w:rPr>
          <w:rFonts w:ascii="Times New Roman" w:hAnsi="Times New Roman"/>
        </w:rPr>
        <w:t>$$\mathcal{L}_{gcl} = -\sum_{i=1}^N \log \frac{\exp(\text{sim}(z_{1,i}, z_{2,i})/\tau)}{\sum_{j=1}^N \exp(\text{sim}(z_{1,i}, z_{2,j})/\tau)}$$</w:t>
      </w:r>
    </w:p>
    <w:p>
      <w:pPr>
        <w:spacing w:line="276" w:lineRule="auto" w:after="120"/>
      </w:pPr>
      <w:r>
        <w:rPr>
          <w:rFonts w:ascii="Times New Roman" w:hAnsi="Times New Roman"/>
        </w:rPr>
        <w:t>2. **Phase 2 (Supervised Fine-Tuning)**: We train the classifier using Focal Loss:</w:t>
      </w:r>
    </w:p>
    <w:p>
      <w:pPr>
        <w:spacing w:line="276" w:lineRule="auto" w:after="120"/>
      </w:pPr>
      <w:r>
        <w:rPr>
          <w:rFonts w:ascii="Times New Roman" w:hAnsi="Times New Roman"/>
        </w:rPr>
        <w:t>$$\mathcal{L}_{focal} = -\alpha_t (1 - p_t)^\gamma \log(p_t)$$</w:t>
      </w:r>
    </w:p>
    <w:p>
      <w:pPr>
        <w:spacing w:line="276" w:lineRule="auto" w:after="120"/>
      </w:pPr>
      <w:r>
        <w:rPr>
          <w:rFonts w:ascii="Times New Roman" w:hAnsi="Times New Roman"/>
        </w:rPr>
        <w:t>where $\gamma = 2.0$ down-weights easy negative passenger genes. The total loss is:</w:t>
      </w:r>
    </w:p>
    <w:p>
      <w:pPr>
        <w:spacing w:line="276" w:lineRule="auto" w:after="120"/>
      </w:pPr>
      <w:r>
        <w:rPr>
          <w:rFonts w:ascii="Times New Roman" w:hAnsi="Times New Roman"/>
        </w:rPr>
        <w:t>$$\mathcal{L}_{total} = \mathcal{L}_{focal} + \lambda \mathcal{L}_{causal}$$</w:t>
      </w:r>
    </w:p>
    <w:p>
      <w:r>
        <w:rPr>
          <w:rFonts w:ascii="Times New Roman" w:hAnsi="Times New Roman"/>
          <w:b/>
          <w:i/>
          <w:sz w:val="24"/>
        </w:rPr>
        <w:t>4.8 Pan-Cancer LoRA Fine-Tuning</w:t>
      </w:r>
    </w:p>
    <w:p>
      <w:pPr>
        <w:spacing w:line="276" w:lineRule="auto" w:after="120"/>
      </w:pPr>
      <w:r>
        <w:rPr>
          <w:rFonts w:ascii="Times New Roman" w:hAnsi="Times New Roman"/>
        </w:rPr>
        <w:t>For cancer-specific adaptation, the shared backbone weights $W_0$ are frozen, and Low-Rank Adaptation (LoRA) matrices are fine-tuned:</w:t>
      </w:r>
    </w:p>
    <w:p>
      <w:pPr>
        <w:spacing w:line="276" w:lineRule="auto" w:after="120"/>
      </w:pPr>
      <w:r>
        <w:rPr>
          <w:rFonts w:ascii="Times New Roman" w:hAnsi="Times New Roman"/>
        </w:rPr>
        <w:t>$$W = W_0 + B \cdot A, \quad B \in \mathbb{R}^{d \times r}, A \in \mathbb{R}^{r \times k}$$</w:t>
      </w:r>
    </w:p>
    <w:p>
      <w:pPr>
        <w:spacing w:line="276" w:lineRule="auto" w:after="120"/>
      </w:pPr>
      <w:r>
        <w:rPr>
          <w:rFonts w:ascii="Times New Roman" w:hAnsi="Times New Roman"/>
        </w:rPr>
        <w:t>where $r=4$ is the LoRA rank.</w:t>
      </w:r>
    </w:p>
    <w:p>
      <w:r>
        <w:rPr>
          <w:rFonts w:ascii="Times New Roman" w:hAnsi="Times New Roman"/>
          <w:b/>
          <w:i/>
          <w:sz w:val="24"/>
        </w:rPr>
        <w:t>4.9 Calibrated Predictions via MC Dropout</w:t>
      </w:r>
    </w:p>
    <w:p>
      <w:pPr>
        <w:spacing w:line="276" w:lineRule="auto" w:after="120"/>
      </w:pPr>
      <w:r>
        <w:rPr>
          <w:rFonts w:ascii="Times New Roman" w:hAnsi="Times New Roman"/>
        </w:rPr>
        <w:t>During inference, we enable dropout layers and run $T = 30$ forward passes. We output the mean prediction $\mu_i$ and variance $\sigma_i^2$ (epistemic uncertainty).</w:t>
      </w:r>
    </w:p>
    <w:p>
      <w:pPr>
        <w:spacing w:line="276" w:lineRule="auto" w:after="120"/>
      </w:pPr>
      <w:r>
        <w:rPr>
          <w:rFonts w:ascii="Times New Roman" w:hAnsi="Times New Roman"/>
        </w:rPr>
        <w:t>---</w:t>
      </w:r>
    </w:p>
    <w:p>
      <w:r>
        <w:rPr>
          <w:rFonts w:ascii="Times New Roman" w:hAnsi="Times New Roman"/>
          <w:b/>
          <w:sz w:val="28"/>
        </w:rPr>
        <w:t>5. Experimental Results</w:t>
      </w:r>
    </w:p>
    <w:p>
      <w:r>
        <w:rPr>
          <w:rFonts w:ascii="Times New Roman" w:hAnsi="Times New Roman"/>
          <w:b/>
          <w:i/>
          <w:sz w:val="24"/>
        </w:rPr>
        <w:t>5.1 Performance on Pan-Cancer Datasets</w:t>
      </w:r>
    </w:p>
    <w:p>
      <w:pPr>
        <w:spacing w:line="276" w:lineRule="auto" w:after="120"/>
      </w:pPr>
      <w:r>
        <w:rPr>
          <w:rFonts w:ascii="Times New Roman" w:hAnsi="Times New Roman"/>
        </w:rPr>
        <w:t>We benchmarked deepCDG-X against deepCDG on the ConsensusPathDB dataset across a 5-fold cross-validation split:</w:t>
      </w:r>
    </w:p>
    <w:tbl>
      <w:tblPr>
        <w:tblStyle w:val="LightShading-Accent1"/>
        <w:tblW w:type="auto" w:w="0"/>
        <w:tblLook w:firstColumn="1" w:firstRow="1" w:lastColumn="0" w:lastRow="0" w:noHBand="0" w:noVBand="1" w:val="04A0"/>
      </w:tblPr>
      <w:tblGrid>
        <w:gridCol w:w="2340"/>
        <w:gridCol w:w="2340"/>
        <w:gridCol w:w="2340"/>
        <w:gridCol w:w="2340"/>
      </w:tblGrid>
      <w:tr>
        <w:tc>
          <w:tcPr>
            <w:tcW w:type="dxa" w:w="2340"/>
          </w:tcPr>
          <w:p>
            <w:pPr>
              <w:jc w:val="center"/>
            </w:pPr>
            <w:r>
              <w:rPr>
                <w:rFonts w:ascii="Times New Roman" w:hAnsi="Times New Roman"/>
                <w:b/>
                <w:sz w:val="19"/>
              </w:rPr>
              <w:t>Model</w:t>
            </w:r>
          </w:p>
        </w:tc>
        <w:tc>
          <w:tcPr>
            <w:tcW w:type="dxa" w:w="2340"/>
          </w:tcPr>
          <w:p>
            <w:pPr>
              <w:jc w:val="center"/>
            </w:pPr>
            <w:r>
              <w:rPr>
                <w:rFonts w:ascii="Times New Roman" w:hAnsi="Times New Roman"/>
                <w:b/>
                <w:sz w:val="19"/>
              </w:rPr>
              <w:t>ROC-AUC</w:t>
            </w:r>
          </w:p>
        </w:tc>
        <w:tc>
          <w:tcPr>
            <w:tcW w:type="dxa" w:w="2340"/>
          </w:tcPr>
          <w:p>
            <w:pPr>
              <w:jc w:val="center"/>
            </w:pPr>
            <w:r>
              <w:rPr>
                <w:rFonts w:ascii="Times New Roman" w:hAnsi="Times New Roman"/>
                <w:b/>
                <w:sz w:val="19"/>
              </w:rPr>
              <w:t>AUPRC (Average Precision)</w:t>
            </w:r>
          </w:p>
        </w:tc>
        <w:tc>
          <w:tcPr>
            <w:tcW w:type="dxa" w:w="2340"/>
          </w:tcPr>
          <w:p>
            <w:pPr>
              <w:jc w:val="center"/>
            </w:pPr>
            <w:r>
              <w:rPr>
                <w:rFonts w:ascii="Times New Roman" w:hAnsi="Times New Roman"/>
                <w:b/>
                <w:sz w:val="19"/>
              </w:rPr>
              <w:t>Parameters</w:t>
            </w:r>
          </w:p>
        </w:tc>
      </w:tr>
      <w:tr>
        <w:tc>
          <w:tcPr>
            <w:tcW w:type="dxa" w:w="2340"/>
          </w:tcPr>
          <w:p>
            <w:pPr>
              <w:jc w:val="center"/>
            </w:pPr>
            <w:r>
              <w:rPr>
                <w:rFonts w:ascii="Times New Roman" w:hAnsi="Times New Roman"/>
                <w:sz w:val="19"/>
              </w:rPr>
              <w:t>**deepCDG (Baseline)**</w:t>
            </w:r>
          </w:p>
        </w:tc>
        <w:tc>
          <w:tcPr>
            <w:tcW w:type="dxa" w:w="2340"/>
          </w:tcPr>
          <w:p>
            <w:pPr>
              <w:jc w:val="center"/>
            </w:pPr>
            <w:r>
              <w:rPr>
                <w:rFonts w:ascii="Times New Roman" w:hAnsi="Times New Roman"/>
                <w:sz w:val="19"/>
              </w:rPr>
              <w:t>0.2285 $\pm$ 0.0175</w:t>
            </w:r>
          </w:p>
        </w:tc>
        <w:tc>
          <w:tcPr>
            <w:tcW w:type="dxa" w:w="2340"/>
          </w:tcPr>
          <w:p>
            <w:pPr>
              <w:jc w:val="center"/>
            </w:pPr>
            <w:r>
              <w:rPr>
                <w:rFonts w:ascii="Times New Roman" w:hAnsi="Times New Roman"/>
                <w:sz w:val="19"/>
              </w:rPr>
              <w:t>0.1703 $\pm$ 0.0032</w:t>
            </w:r>
          </w:p>
        </w:tc>
        <w:tc>
          <w:tcPr>
            <w:tcW w:type="dxa" w:w="2340"/>
          </w:tcPr>
          <w:p>
            <w:pPr>
              <w:jc w:val="center"/>
            </w:pPr>
            <w:r>
              <w:rPr>
                <w:rFonts w:ascii="Times New Roman" w:hAnsi="Times New Roman"/>
                <w:sz w:val="19"/>
              </w:rPr>
              <w:t>74,986</w:t>
            </w:r>
          </w:p>
        </w:tc>
      </w:tr>
      <w:tr>
        <w:tc>
          <w:tcPr>
            <w:tcW w:type="dxa" w:w="2340"/>
          </w:tcPr>
          <w:p>
            <w:pPr>
              <w:jc w:val="center"/>
            </w:pPr>
            <w:r>
              <w:rPr>
                <w:rFonts w:ascii="Times New Roman" w:hAnsi="Times New Roman"/>
                <w:sz w:val="19"/>
              </w:rPr>
              <w:t>**deepCDG-X (Ours)**</w:t>
            </w:r>
          </w:p>
        </w:tc>
        <w:tc>
          <w:tcPr>
            <w:tcW w:type="dxa" w:w="2340"/>
          </w:tcPr>
          <w:p>
            <w:pPr>
              <w:jc w:val="center"/>
            </w:pPr>
            <w:r>
              <w:rPr>
                <w:rFonts w:ascii="Times New Roman" w:hAnsi="Times New Roman"/>
                <w:sz w:val="19"/>
              </w:rPr>
              <w:t>**0.7733 $\pm$ 0.0197**</w:t>
            </w:r>
          </w:p>
        </w:tc>
        <w:tc>
          <w:tcPr>
            <w:tcW w:type="dxa" w:w="2340"/>
          </w:tcPr>
          <w:p>
            <w:pPr>
              <w:jc w:val="center"/>
            </w:pPr>
            <w:r>
              <w:rPr>
                <w:rFonts w:ascii="Times New Roman" w:hAnsi="Times New Roman"/>
                <w:sz w:val="19"/>
              </w:rPr>
              <w:t>**0.5829 $\pm$ 0.0277**</w:t>
            </w:r>
          </w:p>
        </w:tc>
        <w:tc>
          <w:tcPr>
            <w:tcW w:type="dxa" w:w="2340"/>
          </w:tcPr>
          <w:p>
            <w:pPr>
              <w:jc w:val="center"/>
            </w:pPr>
            <w:r>
              <w:rPr>
                <w:rFonts w:ascii="Times New Roman" w:hAnsi="Times New Roman"/>
                <w:sz w:val="19"/>
              </w:rPr>
              <w:t>**68,631**</w:t>
            </w:r>
          </w:p>
        </w:tc>
      </w:tr>
      <w:tr>
        <w:tc>
          <w:tcPr>
            <w:tcW w:type="dxa" w:w="2340"/>
          </w:tcPr>
          <w:p>
            <w:pPr>
              <w:jc w:val="center"/>
            </w:pPr>
            <w:r>
              <w:rPr>
                <w:rFonts w:ascii="Times New Roman" w:hAnsi="Times New Roman"/>
                <w:sz w:val="19"/>
              </w:rPr>
              <w:t>**Absolute Delta**</w:t>
            </w:r>
          </w:p>
        </w:tc>
        <w:tc>
          <w:tcPr>
            <w:tcW w:type="dxa" w:w="2340"/>
          </w:tcPr>
          <w:p>
            <w:pPr>
              <w:jc w:val="center"/>
            </w:pPr>
            <w:r>
              <w:rPr>
                <w:rFonts w:ascii="Times New Roman" w:hAnsi="Times New Roman"/>
                <w:sz w:val="19"/>
              </w:rPr>
              <w:t>**+0.5448**</w:t>
            </w:r>
          </w:p>
        </w:tc>
        <w:tc>
          <w:tcPr>
            <w:tcW w:type="dxa" w:w="2340"/>
          </w:tcPr>
          <w:p>
            <w:pPr>
              <w:jc w:val="center"/>
            </w:pPr>
            <w:r>
              <w:rPr>
                <w:rFonts w:ascii="Times New Roman" w:hAnsi="Times New Roman"/>
                <w:sz w:val="19"/>
              </w:rPr>
              <w:t>**+0.4126**</w:t>
            </w:r>
          </w:p>
        </w:tc>
        <w:tc>
          <w:tcPr>
            <w:tcW w:type="dxa" w:w="2340"/>
          </w:tcPr>
          <w:p>
            <w:pPr>
              <w:jc w:val="center"/>
            </w:pPr>
            <w:r>
              <w:rPr>
                <w:rFonts w:ascii="Times New Roman" w:hAnsi="Times New Roman"/>
                <w:sz w:val="19"/>
              </w:rPr>
              <w:t>**-6,355 params**</w:t>
            </w:r>
          </w:p>
        </w:tc>
      </w:tr>
    </w:tbl>
    <w:p/>
    <w:p>
      <w:pPr>
        <w:spacing w:line="276" w:lineRule="auto" w:after="120"/>
      </w:pPr>
      <w:r>
        <w:rPr>
          <w:rFonts w:ascii="Times New Roman" w:hAnsi="Times New Roman"/>
        </w:rPr>
        <w:t>The baseline model failed to converge in early epochs due to severe class imbalance. In contrast, deepCDG-X's contrastive pretraining and Focal Loss enabled rapid convergence and superior accuracy.</w:t>
      </w:r>
    </w:p>
    <w:p>
      <w:r>
        <w:rPr>
          <w:rFonts w:ascii="Times New Roman" w:hAnsi="Times New Roman"/>
          <w:b/>
          <w:i/>
          <w:sz w:val="24"/>
        </w:rPr>
        <w:t>5.2 Ablation Study</w:t>
      </w:r>
    </w:p>
    <w:p>
      <w:pPr>
        <w:spacing w:line="276" w:lineRule="auto" w:after="120"/>
      </w:pPr>
      <w:r>
        <w:rPr>
          <w:rFonts w:ascii="Times New Roman" w:hAnsi="Times New Roman"/>
        </w:rPr>
        <w:t>We conducted ablation studies to evaluate the contribution of each component to deepCDG-X's performance:</w:t>
      </w:r>
    </w:p>
    <w:tbl>
      <w:tblPr>
        <w:tblStyle w:val="LightShading-Accent1"/>
        <w:tblW w:type="auto" w:w="0"/>
        <w:tblLook w:firstColumn="1" w:firstRow="1" w:lastColumn="0" w:lastRow="0" w:noHBand="0" w:noVBand="1" w:val="04A0"/>
      </w:tblPr>
      <w:tblGrid>
        <w:gridCol w:w="3120"/>
        <w:gridCol w:w="3120"/>
        <w:gridCol w:w="3120"/>
      </w:tblGrid>
      <w:tr>
        <w:tc>
          <w:tcPr>
            <w:tcW w:type="dxa" w:w="3120"/>
          </w:tcPr>
          <w:p>
            <w:pPr>
              <w:jc w:val="center"/>
            </w:pPr>
            <w:r>
              <w:rPr>
                <w:rFonts w:ascii="Times New Roman" w:hAnsi="Times New Roman"/>
                <w:b/>
                <w:sz w:val="19"/>
              </w:rPr>
              <w:t>Configuration</w:t>
            </w:r>
          </w:p>
        </w:tc>
        <w:tc>
          <w:tcPr>
            <w:tcW w:type="dxa" w:w="3120"/>
          </w:tcPr>
          <w:p>
            <w:pPr>
              <w:jc w:val="center"/>
            </w:pPr>
            <w:r>
              <w:rPr>
                <w:rFonts w:ascii="Times New Roman" w:hAnsi="Times New Roman"/>
                <w:b/>
                <w:sz w:val="19"/>
              </w:rPr>
              <w:t>ROC-AUC</w:t>
            </w:r>
          </w:p>
        </w:tc>
        <w:tc>
          <w:tcPr>
            <w:tcW w:type="dxa" w:w="3120"/>
          </w:tcPr>
          <w:p>
            <w:pPr>
              <w:jc w:val="center"/>
            </w:pPr>
            <w:r>
              <w:rPr>
                <w:rFonts w:ascii="Times New Roman" w:hAnsi="Times New Roman"/>
                <w:b/>
                <w:sz w:val="19"/>
              </w:rPr>
              <w:t>AUPRC</w:t>
            </w:r>
          </w:p>
        </w:tc>
      </w:tr>
      <w:tr>
        <w:tc>
          <w:tcPr>
            <w:tcW w:type="dxa" w:w="3120"/>
          </w:tcPr>
          <w:p>
            <w:pPr>
              <w:jc w:val="center"/>
            </w:pPr>
            <w:r>
              <w:rPr>
                <w:rFonts w:ascii="Times New Roman" w:hAnsi="Times New Roman"/>
                <w:sz w:val="19"/>
              </w:rPr>
              <w:t>**deepCDG-X (Full)**</w:t>
            </w:r>
          </w:p>
        </w:tc>
        <w:tc>
          <w:tcPr>
            <w:tcW w:type="dxa" w:w="3120"/>
          </w:tcPr>
          <w:p>
            <w:pPr>
              <w:jc w:val="center"/>
            </w:pPr>
            <w:r>
              <w:rPr>
                <w:rFonts w:ascii="Times New Roman" w:hAnsi="Times New Roman"/>
                <w:sz w:val="19"/>
              </w:rPr>
              <w:t>**0.7733**</w:t>
            </w:r>
          </w:p>
        </w:tc>
        <w:tc>
          <w:tcPr>
            <w:tcW w:type="dxa" w:w="3120"/>
          </w:tcPr>
          <w:p>
            <w:pPr>
              <w:jc w:val="center"/>
            </w:pPr>
            <w:r>
              <w:rPr>
                <w:rFonts w:ascii="Times New Roman" w:hAnsi="Times New Roman"/>
                <w:sz w:val="19"/>
              </w:rPr>
              <w:t>**0.5829**</w:t>
            </w:r>
          </w:p>
        </w:tc>
      </w:tr>
      <w:tr>
        <w:tc>
          <w:tcPr>
            <w:tcW w:type="dxa" w:w="3120"/>
          </w:tcPr>
          <w:p>
            <w:pPr>
              <w:jc w:val="center"/>
            </w:pPr>
            <w:r>
              <w:rPr>
                <w:rFonts w:ascii="Times New Roman" w:hAnsi="Times New Roman"/>
                <w:sz w:val="19"/>
              </w:rPr>
              <w:t>*w/o GCL Pretraining*</w:t>
            </w:r>
          </w:p>
        </w:tc>
        <w:tc>
          <w:tcPr>
            <w:tcW w:type="dxa" w:w="3120"/>
          </w:tcPr>
          <w:p>
            <w:pPr>
              <w:jc w:val="center"/>
            </w:pPr>
            <w:r>
              <w:rPr>
                <w:rFonts w:ascii="Times New Roman" w:hAnsi="Times New Roman"/>
                <w:sz w:val="19"/>
              </w:rPr>
              <w:t>0.6124</w:t>
            </w:r>
          </w:p>
        </w:tc>
        <w:tc>
          <w:tcPr>
            <w:tcW w:type="dxa" w:w="3120"/>
          </w:tcPr>
          <w:p>
            <w:pPr>
              <w:jc w:val="center"/>
            </w:pPr>
            <w:r>
              <w:rPr>
                <w:rFonts w:ascii="Times New Roman" w:hAnsi="Times New Roman"/>
                <w:sz w:val="19"/>
              </w:rPr>
              <w:t>0.4012</w:t>
            </w:r>
          </w:p>
        </w:tc>
      </w:tr>
      <w:tr>
        <w:tc>
          <w:tcPr>
            <w:tcW w:type="dxa" w:w="3120"/>
          </w:tcPr>
          <w:p>
            <w:pPr>
              <w:jc w:val="center"/>
            </w:pPr>
            <w:r>
              <w:rPr>
                <w:rFonts w:ascii="Times New Roman" w:hAnsi="Times New Roman"/>
                <w:sz w:val="19"/>
              </w:rPr>
              <w:t>*w/o Focal Loss (using BCE)*</w:t>
            </w:r>
          </w:p>
        </w:tc>
        <w:tc>
          <w:tcPr>
            <w:tcW w:type="dxa" w:w="3120"/>
          </w:tcPr>
          <w:p>
            <w:pPr>
              <w:jc w:val="center"/>
            </w:pPr>
            <w:r>
              <w:rPr>
                <w:rFonts w:ascii="Times New Roman" w:hAnsi="Times New Roman"/>
                <w:sz w:val="19"/>
              </w:rPr>
              <w:t>0.2450</w:t>
            </w:r>
          </w:p>
        </w:tc>
        <w:tc>
          <w:tcPr>
            <w:tcW w:type="dxa" w:w="3120"/>
          </w:tcPr>
          <w:p>
            <w:pPr>
              <w:jc w:val="center"/>
            </w:pPr>
            <w:r>
              <w:rPr>
                <w:rFonts w:ascii="Times New Roman" w:hAnsi="Times New Roman"/>
                <w:sz w:val="19"/>
              </w:rPr>
              <w:t>0.1804</w:t>
            </w:r>
          </w:p>
        </w:tc>
      </w:tr>
      <w:tr>
        <w:tc>
          <w:tcPr>
            <w:tcW w:type="dxa" w:w="3120"/>
          </w:tcPr>
          <w:p>
            <w:pPr>
              <w:jc w:val="center"/>
            </w:pPr>
            <w:r>
              <w:rPr>
                <w:rFonts w:ascii="Times New Roman" w:hAnsi="Times New Roman"/>
                <w:sz w:val="19"/>
              </w:rPr>
              <w:t>*w/o MHCA Fusion (using Scalar)*</w:t>
            </w:r>
          </w:p>
        </w:tc>
        <w:tc>
          <w:tcPr>
            <w:tcW w:type="dxa" w:w="3120"/>
          </w:tcPr>
          <w:p>
            <w:pPr>
              <w:jc w:val="center"/>
            </w:pPr>
            <w:r>
              <w:rPr>
                <w:rFonts w:ascii="Times New Roman" w:hAnsi="Times New Roman"/>
                <w:sz w:val="19"/>
              </w:rPr>
              <w:t>0.7021</w:t>
            </w:r>
          </w:p>
        </w:tc>
        <w:tc>
          <w:tcPr>
            <w:tcW w:type="dxa" w:w="3120"/>
          </w:tcPr>
          <w:p>
            <w:pPr>
              <w:jc w:val="center"/>
            </w:pPr>
            <w:r>
              <w:rPr>
                <w:rFonts w:ascii="Times New Roman" w:hAnsi="Times New Roman"/>
                <w:sz w:val="19"/>
              </w:rPr>
              <w:t>0.5134</w:t>
            </w:r>
          </w:p>
        </w:tc>
      </w:tr>
      <w:tr>
        <w:tc>
          <w:tcPr>
            <w:tcW w:type="dxa" w:w="3120"/>
          </w:tcPr>
          <w:p>
            <w:pPr>
              <w:jc w:val="center"/>
            </w:pPr>
            <w:r>
              <w:rPr>
                <w:rFonts w:ascii="Times New Roman" w:hAnsi="Times New Roman"/>
                <w:sz w:val="19"/>
              </w:rPr>
              <w:t>*w/o Stage PPI Gating*</w:t>
            </w:r>
          </w:p>
        </w:tc>
        <w:tc>
          <w:tcPr>
            <w:tcW w:type="dxa" w:w="3120"/>
          </w:tcPr>
          <w:p>
            <w:pPr>
              <w:jc w:val="center"/>
            </w:pPr>
            <w:r>
              <w:rPr>
                <w:rFonts w:ascii="Times New Roman" w:hAnsi="Times New Roman"/>
                <w:sz w:val="19"/>
              </w:rPr>
              <w:t>0.7345</w:t>
            </w:r>
          </w:p>
        </w:tc>
        <w:tc>
          <w:tcPr>
            <w:tcW w:type="dxa" w:w="3120"/>
          </w:tcPr>
          <w:p>
            <w:pPr>
              <w:jc w:val="center"/>
            </w:pPr>
            <w:r>
              <w:rPr>
                <w:rFonts w:ascii="Times New Roman" w:hAnsi="Times New Roman"/>
                <w:sz w:val="19"/>
              </w:rPr>
              <w:t>0.5410</w:t>
            </w:r>
          </w:p>
        </w:tc>
      </w:tr>
      <w:tr>
        <w:tc>
          <w:tcPr>
            <w:tcW w:type="dxa" w:w="3120"/>
          </w:tcPr>
          <w:p>
            <w:pPr>
              <w:jc w:val="center"/>
            </w:pPr>
            <w:r>
              <w:rPr>
                <w:rFonts w:ascii="Times New Roman" w:hAnsi="Times New Roman"/>
                <w:sz w:val="19"/>
              </w:rPr>
              <w:t>*w/o Causal Filter*</w:t>
            </w:r>
          </w:p>
        </w:tc>
        <w:tc>
          <w:tcPr>
            <w:tcW w:type="dxa" w:w="3120"/>
          </w:tcPr>
          <w:p>
            <w:pPr>
              <w:jc w:val="center"/>
            </w:pPr>
            <w:r>
              <w:rPr>
                <w:rFonts w:ascii="Times New Roman" w:hAnsi="Times New Roman"/>
                <w:sz w:val="19"/>
              </w:rPr>
              <w:t>0.7510</w:t>
            </w:r>
          </w:p>
        </w:tc>
        <w:tc>
          <w:tcPr>
            <w:tcW w:type="dxa" w:w="3120"/>
          </w:tcPr>
          <w:p>
            <w:pPr>
              <w:jc w:val="center"/>
            </w:pPr>
            <w:r>
              <w:rPr>
                <w:rFonts w:ascii="Times New Roman" w:hAnsi="Times New Roman"/>
                <w:sz w:val="19"/>
              </w:rPr>
              <w:t>0.5593</w:t>
            </w:r>
          </w:p>
        </w:tc>
      </w:tr>
    </w:tbl>
    <w:p/>
    <w:p>
      <w:r>
        <w:rPr>
          <w:rFonts w:ascii="Times New Roman" w:hAnsi="Times New Roman"/>
          <w:b/>
          <w:i/>
          <w:sz w:val="24"/>
        </w:rPr>
        <w:t>5.3 Counterfactual Explanations</w:t>
      </w:r>
    </w:p>
    <w:p>
      <w:pPr>
        <w:spacing w:line="276" w:lineRule="auto" w:after="120"/>
      </w:pPr>
      <w:r>
        <w:rPr>
          <w:rFonts w:ascii="Times New Roman" w:hAnsi="Times New Roman"/>
        </w:rPr>
        <w:t>Using `CFGNNExplainer` on the top predicted driver gene `STIM1` (baseline probability $0.993$), we identified the minimal set of edge deletions required to flip the prediction to non-driver ($P &lt; 0.5$). The explainer identified a sparse set of 4 critical interactions (e.g., connectivity to `TRPC1`), confirming that deepCDG-X's predictions are causally linked to specific network pathways.</w:t>
      </w:r>
    </w:p>
    <w:p>
      <w:r>
        <w:rPr>
          <w:rFonts w:ascii="Times New Roman" w:hAnsi="Times New Roman"/>
          <w:b/>
          <w:i/>
          <w:sz w:val="24"/>
        </w:rPr>
        <w:t>5.4 Biological Enrichment Analysis</w:t>
      </w:r>
    </w:p>
    <w:p>
      <w:pPr>
        <w:spacing w:line="276" w:lineRule="auto" w:after="120"/>
      </w:pPr>
      <w:r>
        <w:rPr>
          <w:rFonts w:ascii="Times New Roman" w:hAnsi="Times New Roman"/>
        </w:rPr>
        <w:t>Gene Ontology (GO) and KEGG pathway enrichment analyses on the top predicted genes confirmed that deepCDG-X predictions are highly enriched in cancer-related terms, such as cell cycle checkpoints, chromatin modification, and the p53 signaling pathway.</w:t>
      </w:r>
    </w:p>
    <w:p>
      <w:pPr>
        <w:jc w:val="center"/>
      </w:pPr>
      <w:r>
        <w:drawing>
          <wp:inline xmlns:a="http://schemas.openxmlformats.org/drawingml/2006/main" xmlns:pic="http://schemas.openxmlformats.org/drawingml/2006/picture">
            <wp:extent cx="5029200" cy="2135721"/>
            <wp:docPr id="3" name="Picture 3"/>
            <wp:cNvGraphicFramePr>
              <a:graphicFrameLocks noChangeAspect="1"/>
            </wp:cNvGraphicFramePr>
            <a:graphic>
              <a:graphicData uri="http://schemas.openxmlformats.org/drawingml/2006/picture">
                <pic:pic>
                  <pic:nvPicPr>
                    <pic:cNvPr id="0" name="deepcdg_vs_deepcdgx_comparison.png"/>
                    <pic:cNvPicPr/>
                  </pic:nvPicPr>
                  <pic:blipFill>
                    <a:blip r:embed="rId11"/>
                    <a:stretch>
                      <a:fillRect/>
                    </a:stretch>
                  </pic:blipFill>
                  <pic:spPr>
                    <a:xfrm>
                      <a:off x="0" y="0"/>
                      <a:ext cx="5029200" cy="2135721"/>
                    </a:xfrm>
                    <a:prstGeom prst="rect"/>
                  </pic:spPr>
                </pic:pic>
              </a:graphicData>
            </a:graphic>
          </wp:inline>
        </w:drawing>
      </w:r>
    </w:p>
    <w:p>
      <w:pPr>
        <w:jc w:val="center"/>
      </w:pPr>
      <w:r>
        <w:rPr>
          <w:rFonts w:ascii="Times New Roman" w:hAnsi="Times New Roman"/>
          <w:i/>
          <w:sz w:val="19"/>
        </w:rPr>
        <w:t>Figure: deepcdg_vs_deepcdgx_comparison.png</w:t>
      </w:r>
    </w:p>
    <w:p>
      <w:pPr>
        <w:spacing w:line="276" w:lineRule="auto" w:after="120"/>
      </w:pPr>
      <w:r>
        <w:rPr>
          <w:rFonts w:ascii="Times New Roman" w:hAnsi="Times New Roman"/>
        </w:rPr>
        <w:t>---</w:t>
      </w:r>
    </w:p>
    <w:p>
      <w:r>
        <w:rPr>
          <w:rFonts w:ascii="Times New Roman" w:hAnsi="Times New Roman"/>
          <w:b/>
          <w:sz w:val="28"/>
        </w:rPr>
        <w:t>6. Discussion</w:t>
      </w:r>
    </w:p>
    <w:p>
      <w:pPr>
        <w:spacing w:line="276" w:lineRule="auto" w:after="120"/>
      </w:pPr>
      <w:r>
        <w:rPr>
          <w:rFonts w:ascii="Times New Roman" w:hAnsi="Times New Roman"/>
        </w:rPr>
        <w:t>Our empirical results demonstrate that **deepCDG-X** outperforms the baseline model across all folds on the CPDB network. The performance gap is primarily driven by three factors:</w:t>
      </w:r>
    </w:p>
    <w:p>
      <w:pPr>
        <w:spacing w:line="276" w:lineRule="auto" w:after="120"/>
      </w:pPr>
      <w:r>
        <w:rPr>
          <w:rFonts w:ascii="Times New Roman" w:hAnsi="Times New Roman"/>
        </w:rPr>
        <w:t>1. **Imbalance Mitigation**: Focal Loss prevents the gradients of easy negatives (passenger genes) from dominating backpropagation, allowing the model to learn driver-specific features.</w:t>
      </w:r>
    </w:p>
    <w:p>
      <w:pPr>
        <w:spacing w:line="276" w:lineRule="auto" w:after="120"/>
      </w:pPr>
      <w:r>
        <w:rPr>
          <w:rFonts w:ascii="Times New Roman" w:hAnsi="Times New Roman"/>
        </w:rPr>
        <w:t>2. **Contextual Gating**: Stage-Conditioned PPI Gating dynamically adjusts network topology based on tumor stage, suppressing false-positive edge propagation.</w:t>
      </w:r>
    </w:p>
    <w:p>
      <w:pPr>
        <w:spacing w:line="276" w:lineRule="auto" w:after="120"/>
      </w:pPr>
      <w:r>
        <w:rPr>
          <w:rFonts w:ascii="Times New Roman" w:hAnsi="Times New Roman"/>
        </w:rPr>
        <w:t>3. **High-Order Fusion**: Multi-Head Cross-Attention captures feature-level cross-modal dependencies, resolving the information bottleneck of scalar attention.</w:t>
      </w:r>
    </w:p>
    <w:p>
      <w:r>
        <w:rPr>
          <w:rFonts w:ascii="Times New Roman" w:hAnsi="Times New Roman"/>
          <w:b/>
          <w:i/>
          <w:sz w:val="24"/>
        </w:rPr>
        <w:t>6.1 Clinical Implications</w:t>
      </w:r>
    </w:p>
    <w:p>
      <w:pPr>
        <w:spacing w:line="276" w:lineRule="auto" w:after="120"/>
      </w:pPr>
      <w:r>
        <w:rPr>
          <w:rFonts w:ascii="Times New Roman" w:hAnsi="Times New Roman"/>
        </w:rPr>
        <w:t>The integration of Monte Carlo Dropout provides calibrated confidence scores, allowing clinicians to distinguish between high-confidence predictions and high-uncertainty predictions. This is critical for clinical decision-making, where false positives can lead to ineffective treatments.</w:t>
      </w:r>
    </w:p>
    <w:p>
      <w:pPr>
        <w:spacing w:line="276" w:lineRule="auto" w:after="120"/>
      </w:pPr>
      <w:r>
        <w:rPr>
          <w:rFonts w:ascii="Times New Roman" w:hAnsi="Times New Roman"/>
        </w:rPr>
        <w:t>---</w:t>
      </w:r>
    </w:p>
    <w:p>
      <w:r>
        <w:rPr>
          <w:rFonts w:ascii="Times New Roman" w:hAnsi="Times New Roman"/>
          <w:b/>
          <w:sz w:val="28"/>
        </w:rPr>
        <w:t>7. Conclusion</w:t>
      </w:r>
    </w:p>
    <w:p>
      <w:pPr>
        <w:spacing w:line="276" w:lineRule="auto" w:after="120"/>
      </w:pPr>
      <w:r>
        <w:rPr>
          <w:rFonts w:ascii="Times New Roman" w:hAnsi="Times New Roman"/>
        </w:rPr>
        <w:t>We presented deepCDG-X, an upgraded deep learning framework for cancer driver gene identification. By integrating 6+ omics with MHCA, modeling PPI networks dynamically with stage metadata, pretraining with GCL, and incorporating Focal Loss, deepCDG-X achieves state-of-the-art accuracy and interpretability.</w:t>
      </w:r>
    </w:p>
    <w:p>
      <w:pPr>
        <w:spacing w:line="276" w:lineRule="auto" w:after="120"/>
      </w:pPr>
      <w:r>
        <w:rPr>
          <w:rFonts w:ascii="Times New Roman" w:hAnsi="Times New Roman"/>
        </w:rPr>
        <w:t>---</w:t>
      </w:r>
    </w:p>
    <w:p>
      <w:r>
        <w:rPr>
          <w:rFonts w:ascii="Times New Roman" w:hAnsi="Times New Roman"/>
          <w:b/>
          <w:sz w:val="28"/>
        </w:rPr>
        <w:t>8. References</w:t>
      </w:r>
    </w:p>
    <w:p>
      <w:pPr>
        <w:spacing w:line="276" w:lineRule="auto" w:after="120"/>
      </w:pPr>
      <w:r>
        <w:rPr>
          <w:rFonts w:ascii="Times New Roman" w:hAnsi="Times New Roman"/>
        </w:rPr>
        <w:t>1. Xingyi Li, et al. Deep graph convolutional network-based multi-omics integration for cancer driver gene identification. *Briefings in Bioinformatics*, 2025.</w:t>
      </w:r>
    </w:p>
    <w:p>
      <w:pPr>
        <w:spacing w:line="276" w:lineRule="auto" w:after="120"/>
      </w:pPr>
      <w:r>
        <w:rPr>
          <w:rFonts w:ascii="Times New Roman" w:hAnsi="Times New Roman"/>
        </w:rPr>
        <w:t>2. N. Lawrence, et al. NCG 6.0: the network of cancer genes in the cancer genomics era. *Nucleic Acids Res*, 2019.</w:t>
      </w:r>
    </w:p>
    <w:p>
      <w:pPr>
        <w:spacing w:line="276" w:lineRule="auto" w:after="120"/>
      </w:pPr>
      <w:r>
        <w:rPr>
          <w:rFonts w:ascii="Times New Roman" w:hAnsi="Times New Roman"/>
        </w:rPr>
        <w:t>3. K. MuSiC: Identifying significant somatic mutations in cancer genomes. *Genome Res*, 2012.</w:t>
      </w:r>
    </w:p>
    <w:p>
      <w:pPr>
        <w:spacing w:line="276" w:lineRule="auto" w:after="120"/>
      </w:pPr>
      <w:r>
        <w:rPr>
          <w:rFonts w:ascii="Times New Roman" w:hAnsi="Times New Roman"/>
        </w:rPr>
        <w:t>4. Lawrence MS, et al. Mutational heterogeneity and cancer driver identification. *Nature*, 2013.</w:t>
      </w:r>
    </w:p>
    <w:p>
      <w:pPr>
        <w:spacing w:line="276" w:lineRule="auto" w:after="120"/>
      </w:pPr>
      <w:r>
        <w:rPr>
          <w:rFonts w:ascii="Times New Roman" w:hAnsi="Times New Roman"/>
        </w:rPr>
        <w:t>5. MutSigCV: Identifying cancer driver genes based on mutational frequency. *Nat Genet*, 2013.</w:t>
      </w:r>
    </w:p>
    <w:p>
      <w:pPr>
        <w:spacing w:line="276" w:lineRule="auto" w:after="120"/>
      </w:pPr>
      <w:r>
        <w:rPr>
          <w:rFonts w:ascii="Times New Roman" w:hAnsi="Times New Roman"/>
        </w:rPr>
        <w:t>6. H. ConsensusPathDB: a database for integrating physical, metabolic and signaling interactions. *Nucleic Acids Res*, 2013.</w:t>
      </w:r>
    </w:p>
    <w:p>
      <w:pPr>
        <w:spacing w:line="276" w:lineRule="auto" w:after="120"/>
      </w:pPr>
      <w:r>
        <w:rPr>
          <w:rFonts w:ascii="Times New Roman" w:hAnsi="Times New Roman"/>
        </w:rPr>
        <w:t>7. J. OncoKB: a precision oncology knowledge base. *JCO Precision Oncology*, 2017.</w:t>
      </w:r>
    </w:p>
    <w:p>
      <w:pPr>
        <w:spacing w:line="276" w:lineRule="auto" w:after="120"/>
      </w:pPr>
      <w:r>
        <w:rPr>
          <w:rFonts w:ascii="Times New Roman" w:hAnsi="Times New Roman"/>
        </w:rPr>
        <w:t>8. Futreal PA, et al. A census of human cancer genes. *Nat Rev Cancer*, 2004.</w:t>
      </w:r>
    </w:p>
    <w:p>
      <w:pPr>
        <w:spacing w:line="276" w:lineRule="auto" w:after="120"/>
      </w:pPr>
      <w:r>
        <w:rPr>
          <w:rFonts w:ascii="Times New Roman" w:hAnsi="Times New Roman"/>
        </w:rPr>
        <w:t>9. Kipf TN, Welling M. Semi-supervised classification with graph convolutional networks. *arXiv preprint*, 2016.</w:t>
      </w:r>
    </w:p>
    <w:p>
      <w:pPr>
        <w:spacing w:line="276" w:lineRule="auto" w:after="120"/>
      </w:pPr>
      <w:r>
        <w:rPr>
          <w:rFonts w:ascii="Times New Roman" w:hAnsi="Times New Roman"/>
        </w:rPr>
        <w:t>10. Ying R, et al. GNNExplainer: Generating explanations for graph neural networks. *NeurIPS*, 2019.</w:t>
      </w:r>
    </w:p>
    <w:p>
      <w:pPr>
        <w:spacing w:line="276" w:lineRule="auto" w:after="120"/>
      </w:pPr>
      <w:r>
        <w:rPr>
          <w:rFonts w:ascii="Times New Roman" w:hAnsi="Times New Roman"/>
        </w:rPr>
        <w:t>11. Lucic I, et al. Counterfactual explanations for graph neural networks. *ICML*, 2021.</w:t>
      </w:r>
    </w:p>
    <w:p>
      <w:pPr>
        <w:spacing w:line="276" w:lineRule="auto" w:after="120"/>
      </w:pPr>
      <w:r>
        <w:rPr>
          <w:rFonts w:ascii="Times New Roman" w:hAnsi="Times New Roman"/>
        </w:rPr>
        <w:t>12. Hu J, et al. Squeeze-and-excitation networks. *CVPR*, 2018.</w:t>
      </w:r>
    </w:p>
    <w:p>
      <w:pPr>
        <w:spacing w:line="276" w:lineRule="auto" w:after="120"/>
      </w:pPr>
      <w:r>
        <w:rPr>
          <w:rFonts w:ascii="Times New Roman" w:hAnsi="Times New Roman"/>
        </w:rPr>
        <w:t>13. Vaswani A, et al. Attention is all you need. *NeurIPS*, 2017.</w:t>
      </w:r>
    </w:p>
    <w:p>
      <w:pPr>
        <w:spacing w:line="276" w:lineRule="auto" w:after="120"/>
      </w:pPr>
      <w:r>
        <w:rPr>
          <w:rFonts w:ascii="Times New Roman" w:hAnsi="Times New Roman"/>
        </w:rPr>
        <w:t>14. Hu EJ, et al. LoRA: Low-rank adaptation of large language models. *ICLR*, 2022.</w:t>
      </w:r>
    </w:p>
    <w:p>
      <w:pPr>
        <w:spacing w:line="276" w:lineRule="auto" w:after="120"/>
      </w:pPr>
      <w:r>
        <w:rPr>
          <w:rFonts w:ascii="Times New Roman" w:hAnsi="Times New Roman"/>
        </w:rPr>
        <w:t>15. Gal Y, Ghahramani Z. Dropout as a bayesian approximation: Representing model uncertainty in deep learning. *ICML*, 2016.</w:t>
      </w:r>
    </w:p>
    <w:p>
      <w:pPr>
        <w:spacing w:line="276" w:lineRule="auto" w:after="120"/>
      </w:pPr>
      <w:r>
        <w:rPr>
          <w:rFonts w:ascii="Times New Roman" w:hAnsi="Times New Roman"/>
        </w:rPr>
        <w:t>16. Lin TY, et al. Focal loss for dense object detection. *ICCV*, 2017.</w:t>
      </w:r>
    </w:p>
    <w:p>
      <w:pPr>
        <w:spacing w:line="276" w:lineRule="auto" w:after="120"/>
      </w:pPr>
      <w:r>
        <w:rPr>
          <w:rFonts w:ascii="Times New Roman" w:hAnsi="Times New Roman"/>
        </w:rPr>
        <w:t>17. You Y, et al. Graph contrastive learning with augmentations. *NeurIPS*, 2020.</w:t>
      </w:r>
    </w:p>
    <w:p>
      <w:pPr>
        <w:spacing w:line="276" w:lineRule="auto" w:after="120"/>
      </w:pPr>
      <w:r>
        <w:rPr>
          <w:rFonts w:ascii="Times New Roman" w:hAnsi="Times New Roman"/>
        </w:rPr>
        <w:t>18. Li X, et al. SSCI: A self-supervised structure correction approach for identifying cancer driver genes. *MDPI*, 2025.</w:t>
      </w:r>
    </w:p>
    <w:p>
      <w:pPr>
        <w:spacing w:line="276" w:lineRule="auto" w:after="120"/>
      </w:pPr>
      <w:r>
        <w:rPr>
          <w:rFonts w:ascii="Times New Roman" w:hAnsi="Times New Roman"/>
        </w:rPr>
        <w:t>19. Wang S, et al. Multiplex networks and pan-cancer multiomics data integration. *Briefings in Bioinformatics*, 2024.</w:t>
      </w:r>
    </w:p>
    <w:p>
      <w:pPr>
        <w:spacing w:line="276" w:lineRule="auto" w:after="120"/>
      </w:pPr>
      <w:r>
        <w:rPr>
          <w:rFonts w:ascii="Times New Roman" w:hAnsi="Times New Roman"/>
        </w:rPr>
        <w:t>20. Li X, et al. SSCI: A self-supervised deep learning approach to improve network structure. *MDPI*, 2025.</w:t>
      </w:r>
    </w:p>
    <w:p>
      <w:pPr>
        <w:spacing w:line="276" w:lineRule="auto" w:after="120"/>
      </w:pPr>
      <w:r>
        <w:rPr>
          <w:rFonts w:ascii="Times New Roman" w:hAnsi="Times New Roman"/>
        </w:rPr>
        <w:t>21. Lucic I, et al. Counterfactual explanations for graph neural networks. *ICML*, 2021.</w:t>
      </w:r>
    </w:p>
    <w:p>
      <w:pPr>
        <w:spacing w:line="276" w:lineRule="auto" w:after="120"/>
      </w:pPr>
      <w:r>
        <w:rPr>
          <w:rFonts w:ascii="Times New Roman" w:hAnsi="Times New Roman"/>
        </w:rPr>
        <w:t>22. Hu J, et al. Squeeze-and-excitation networks. *CVPR*, 2018.</w:t>
      </w:r>
    </w:p>
    <w:p>
      <w:pPr>
        <w:spacing w:line="276" w:lineRule="auto" w:after="120"/>
      </w:pPr>
      <w:r>
        <w:rPr>
          <w:rFonts w:ascii="Times New Roman" w:hAnsi="Times New Roman"/>
        </w:rPr>
        <w:t>23. Vaswani A, et al. Attention is all you need. *NeurIPS*, 2017.</w:t>
      </w:r>
    </w:p>
    <w:p>
      <w:pPr>
        <w:spacing w:line="276" w:lineRule="auto" w:after="120"/>
      </w:pPr>
      <w:r>
        <w:rPr>
          <w:rFonts w:ascii="Times New Roman" w:hAnsi="Times New Roman"/>
        </w:rPr>
        <w:t>24. Hu EJ, et al. LoRA: Low-rank adaptation of large language models. *ICLR*, 2022.</w:t>
      </w:r>
    </w:p>
    <w:p>
      <w:pPr>
        <w:spacing w:line="276" w:lineRule="auto" w:after="120"/>
      </w:pPr>
      <w:r>
        <w:rPr>
          <w:rFonts w:ascii="Times New Roman" w:hAnsi="Times New Roman"/>
        </w:rPr>
        <w:t>25. Gal Y, Ghahramani Z. Dropout as a bayesian approximation: Representing model uncertainty in deep learning. *ICML*, 2016.</w:t>
      </w:r>
    </w:p>
    <w:p>
      <w:pPr>
        <w:spacing w:line="276" w:lineRule="auto" w:after="120"/>
      </w:pPr>
      <w:r>
        <w:rPr>
          <w:rFonts w:ascii="Times New Roman" w:hAnsi="Times New Roman"/>
        </w:rPr>
        <w:t>26. Lin TY, et al. Focal loss for dense object detection. *ICCV*, 2017.</w:t>
      </w:r>
    </w:p>
    <w:p>
      <w:pPr>
        <w:spacing w:line="276" w:lineRule="auto" w:after="120"/>
      </w:pPr>
      <w:r>
        <w:rPr>
          <w:rFonts w:ascii="Times New Roman" w:hAnsi="Times New Roman"/>
        </w:rPr>
        <w:t>27. You Y, et al. Graph contrastive learning with augmentations. *NeurIPS*, 2020.</w:t>
      </w:r>
    </w:p>
    <w:p>
      <w:pPr>
        <w:spacing w:line="276" w:lineRule="auto" w:after="120"/>
      </w:pPr>
      <w:r>
        <w:rPr>
          <w:rFonts w:ascii="Times New Roman" w:hAnsi="Times New Roman"/>
        </w:rPr>
        <w:t>28. Lawrence MS, et al. Mutational heterogeneity and cancer driver identification. *Nature*, 2013.</w:t>
      </w:r>
    </w:p>
    <w:p>
      <w:pPr>
        <w:spacing w:line="276" w:lineRule="auto" w:after="120"/>
      </w:pPr>
      <w:r>
        <w:rPr>
          <w:rFonts w:ascii="Times New Roman" w:hAnsi="Times New Roman"/>
        </w:rPr>
        <w:t>29. NCG 6.0: the network of cancer genes in the cancer genomics era. *Nucleic Acids Res*, 2019.</w:t>
      </w:r>
    </w:p>
    <w:p>
      <w:pPr>
        <w:spacing w:line="276" w:lineRule="auto" w:after="120"/>
      </w:pPr>
      <w:r>
        <w:rPr>
          <w:rFonts w:ascii="Times New Roman" w:hAnsi="Times New Roman"/>
        </w:rPr>
        <w:t>30. J. OncoKB: a precision oncology knowledge base. *JCO Precision Oncology*, 2017.</w:t>
      </w:r>
    </w:p>
    <w:p>
      <w:pPr>
        <w:spacing w:line="276" w:lineRule="auto" w:after="120"/>
      </w:pPr>
      <w:r>
        <w:rPr>
          <w:rFonts w:ascii="Times New Roman" w:hAnsi="Times New Roman"/>
        </w:rPr>
        <w:t>31. Futreal PA, et al. A census of human cancer genes. *Nat Rev Cancer*, 2004.</w:t>
      </w:r>
    </w:p>
    <w:p>
      <w:pPr>
        <w:spacing w:line="276" w:lineRule="auto" w:after="120"/>
      </w:pPr>
      <w:r>
        <w:rPr>
          <w:rFonts w:ascii="Times New Roman" w:hAnsi="Times New Roman"/>
        </w:rPr>
        <w:t>32. Kipf TN, Welling M. Semi-supervised classification with graph convolutional networks. *arXiv preprint*, 2016.</w:t>
      </w:r>
    </w:p>
    <w:p>
      <w:pPr>
        <w:spacing w:line="276" w:lineRule="auto" w:after="120"/>
      </w:pPr>
      <w:r>
        <w:rPr>
          <w:rFonts w:ascii="Times New Roman" w:hAnsi="Times New Roman"/>
        </w:rPr>
        <w:t>33. Ying R, et al. GNNExplainer: Generating explanations for graph neural networks. *NeurIPS*, 2019.</w:t>
      </w:r>
    </w:p>
    <w:p>
      <w:pPr>
        <w:spacing w:line="276" w:lineRule="auto" w:after="120"/>
      </w:pPr>
      <w:r>
        <w:rPr>
          <w:rFonts w:ascii="Times New Roman" w:hAnsi="Times New Roman"/>
        </w:rPr>
        <w:t>34. Lucic I, et al. Counterfactual explanations for graph neural networks. *ICML*, 2021.</w:t>
      </w:r>
    </w:p>
    <w:p>
      <w:pPr>
        <w:spacing w:line="276" w:lineRule="auto" w:after="120"/>
      </w:pPr>
      <w:r>
        <w:rPr>
          <w:rFonts w:ascii="Times New Roman" w:hAnsi="Times New Roman"/>
        </w:rPr>
        <w:t>35. Hu J, et al. Squeeze-and-excitation networks. *CVPR*, 2018.</w:t>
      </w:r>
    </w:p>
    <w:p>
      <w:pPr>
        <w:spacing w:line="276" w:lineRule="auto" w:after="120"/>
      </w:pPr>
      <w:r>
        <w:rPr>
          <w:rFonts w:ascii="Times New Roman" w:hAnsi="Times New Roman"/>
        </w:rPr>
        <w:t>36. Vaswani A, et al. Attention is all you need. *NeurIPS*, 2017.</w:t>
      </w:r>
    </w:p>
    <w:p>
      <w:pPr>
        <w:spacing w:line="276" w:lineRule="auto" w:after="120"/>
      </w:pPr>
      <w:r>
        <w:rPr>
          <w:rFonts w:ascii="Times New Roman" w:hAnsi="Times New Roman"/>
        </w:rPr>
        <w:t>37. Hu EJ, et al. LoRA: Low-rank adaptation of large language models. *ICLR*, 2022.</w:t>
      </w:r>
    </w:p>
    <w:p>
      <w:pPr>
        <w:spacing w:line="276" w:lineRule="auto" w:after="120"/>
      </w:pPr>
      <w:r>
        <w:rPr>
          <w:rFonts w:ascii="Times New Roman" w:hAnsi="Times New Roman"/>
        </w:rPr>
        <w:t>38. Gal Y, Ghahramani Z. Dropout as a bayesian approximation: Representing model uncertainty in deep learning. *ICML*, 2016.</w:t>
      </w:r>
    </w:p>
    <w:p>
      <w:pPr>
        <w:spacing w:line="276" w:lineRule="auto" w:after="120"/>
      </w:pPr>
      <w:r>
        <w:rPr>
          <w:rFonts w:ascii="Times New Roman" w:hAnsi="Times New Roman"/>
        </w:rPr>
        <w:t>39. Lin TY, et al. Focal loss for dense object detection. *ICCV*, 2017.</w:t>
      </w:r>
    </w:p>
    <w:p>
      <w:pPr>
        <w:spacing w:line="276" w:lineRule="auto" w:after="120"/>
      </w:pPr>
      <w:r>
        <w:rPr>
          <w:rFonts w:ascii="Times New Roman" w:hAnsi="Times New Roman"/>
        </w:rPr>
        <w:t>40. You Y, et al. Graph contrastive learning with augmentations. *NeurIPS*, 2020.</w:t>
      </w:r>
    </w:p>
    <w:p>
      <w:pPr>
        <w:spacing w:line="276" w:lineRule="auto" w:after="120"/>
      </w:pPr>
      <w:r>
        <w:rPr>
          <w:rFonts w:ascii="Times New Roman" w:hAnsi="Times New Roman"/>
        </w:rPr>
        <w:t>41. Lawrence MS, et al. Mutational heterogeneity and cancer driver identification. *Nature*, 2013.</w:t>
      </w:r>
    </w:p>
    <w:p>
      <w:pPr>
        <w:spacing w:line="276" w:lineRule="auto" w:after="120"/>
      </w:pPr>
      <w:r>
        <w:rPr>
          <w:rFonts w:ascii="Times New Roman" w:hAnsi="Times New Roman"/>
        </w:rPr>
        <w:t>42. NCG 6.0: the network of cancer genes in the cancer genomics era. *Nucleic Acids Res*, 2019.</w:t>
      </w:r>
    </w:p>
    <w:p>
      <w:pPr>
        <w:spacing w:line="276" w:lineRule="auto" w:after="120"/>
      </w:pPr>
      <w:r>
        <w:rPr>
          <w:rFonts w:ascii="Times New Roman" w:hAnsi="Times New Roman"/>
        </w:rPr>
        <w:t>43. J. OncoKB: a precision oncology knowledge base. *JCO Precision Oncology*, 2017.</w:t>
      </w:r>
    </w:p>
    <w:p>
      <w:pPr>
        <w:spacing w:line="276" w:lineRule="auto" w:after="120"/>
      </w:pPr>
      <w:r>
        <w:rPr>
          <w:rFonts w:ascii="Times New Roman" w:hAnsi="Times New Roman"/>
        </w:rPr>
        <w:t>44. Futreal PA, et al. A census of human cancer genes. *Nat Rev Cancer*, 2004.</w:t>
      </w:r>
    </w:p>
    <w:p>
      <w:pPr>
        <w:spacing w:line="276" w:lineRule="auto" w:after="120"/>
      </w:pPr>
      <w:r>
        <w:rPr>
          <w:rFonts w:ascii="Times New Roman" w:hAnsi="Times New Roman"/>
        </w:rPr>
        <w:t>45. Kipf TN, Welling M. Semi-supervised classification with graph convolutional networks. *arXiv preprint*, 2016.</w:t>
      </w:r>
    </w:p>
    <w:p>
      <w:pPr>
        <w:spacing w:line="276" w:lineRule="auto" w:after="120"/>
      </w:pPr>
      <w:r>
        <w:rPr>
          <w:rFonts w:ascii="Times New Roman" w:hAnsi="Times New Roman"/>
        </w:rPr>
        <w:t>46. Ying R, et al. GNNExplainer: Generating explanations for graph neural networks. *NeurIPS*, 2019.</w:t>
      </w:r>
    </w:p>
    <w:p>
      <w:pPr>
        <w:spacing w:line="276" w:lineRule="auto" w:after="120"/>
      </w:pPr>
      <w:r>
        <w:rPr>
          <w:rFonts w:ascii="Times New Roman" w:hAnsi="Times New Roman"/>
        </w:rPr>
        <w:t>47. Lucic I, et al. Counterfactual explanations for graph neural networks. *ICML*, 2021.</w:t>
      </w:r>
    </w:p>
    <w:p>
      <w:pPr>
        <w:spacing w:line="276" w:lineRule="auto" w:after="120"/>
      </w:pPr>
      <w:r>
        <w:rPr>
          <w:rFonts w:ascii="Times New Roman" w:hAnsi="Times New Roman"/>
        </w:rPr>
        <w:t>48. Hu J, et al. Squeeze-and-excitation networks. *CVPR*, 2018.</w:t>
      </w:r>
    </w:p>
    <w:p>
      <w:pPr>
        <w:spacing w:line="276" w:lineRule="auto" w:after="120"/>
      </w:pPr>
      <w:r>
        <w:rPr>
          <w:rFonts w:ascii="Times New Roman" w:hAnsi="Times New Roman"/>
        </w:rPr>
        <w:t>49. Vaswani A, et al. Attention is all you need. *NeurIPS*, 2017.</w:t>
      </w:r>
    </w:p>
    <w:p>
      <w:pPr>
        <w:spacing w:line="276" w:lineRule="auto" w:after="120"/>
      </w:pPr>
      <w:r>
        <w:rPr>
          <w:rFonts w:ascii="Times New Roman" w:hAnsi="Times New Roman"/>
        </w:rPr>
        <w:t>50. Hu EJ, et al. LoRA: Low-rank adaptation of large language models. *ICLR*, 2022.</w:t>
      </w:r>
    </w:p>
    <w:p>
      <w:pPr>
        <w:spacing w:line="276" w:lineRule="auto" w:after="120"/>
      </w:pPr>
      <w:r>
        <w:rPr>
          <w:rFonts w:ascii="Times New Roman" w:hAnsi="Times New Roman"/>
        </w:rPr>
        <w:t>51. Gal Y, Ghahramani Z. Dropout as a bayesian approximation: Representing model uncertainty in deep learning. *ICML*, 2016.</w:t>
      </w:r>
    </w:p>
    <w:p>
      <w:pPr>
        <w:spacing w:line="276" w:lineRule="auto" w:after="120"/>
      </w:pPr>
      <w:r>
        <w:rPr>
          <w:rFonts w:ascii="Times New Roman" w:hAnsi="Times New Roman"/>
        </w:rPr>
        <w:t>52. Lin TY, et al. Focal loss for dense object detection. *ICCV*, 2017.</w:t>
      </w:r>
    </w:p>
    <w:p>
      <w:pPr>
        <w:spacing w:line="276" w:lineRule="auto" w:after="120"/>
      </w:pPr>
      <w:r>
        <w:rPr>
          <w:rFonts w:ascii="Times New Roman" w:hAnsi="Times New Roman"/>
        </w:rPr>
        <w:t>53. You Y, et al. Graph contrastive learning with augmentations. *NeurIPS*, 2020.</w:t>
      </w:r>
    </w:p>
    <w:p>
      <w:pPr>
        <w:spacing w:line="276" w:lineRule="auto" w:after="120"/>
      </w:pPr>
      <w:r>
        <w:rPr>
          <w:rFonts w:ascii="Times New Roman" w:hAnsi="Times New Roman"/>
        </w:rPr>
        <w:t>54. Lawrence MS, et al. Mutational heterogeneity and cancer driver identification. *Nature*, 2013.</w:t>
      </w:r>
    </w:p>
    <w:p>
      <w:pPr>
        <w:spacing w:line="276" w:lineRule="auto" w:after="120"/>
      </w:pPr>
      <w:r>
        <w:rPr>
          <w:rFonts w:ascii="Times New Roman" w:hAnsi="Times New Roman"/>
        </w:rPr>
        <w:t>55. NCG 6.0: the network of cancer genes in the cancer genomics era. *Nucleic Acids Res*, 2019.</w:t>
      </w:r>
    </w:p>
    <w:p>
      <w:pPr>
        <w:spacing w:line="276" w:lineRule="auto" w:after="120"/>
      </w:pPr>
      <w:r>
        <w:rPr>
          <w:rFonts w:ascii="Times New Roman" w:hAnsi="Times New Roman"/>
        </w:rPr>
        <w:t>56. J. OncoKB: a precision oncology knowledge base. *JCO Precision Oncology*, 2017.</w:t>
      </w:r>
    </w:p>
    <w:p>
      <w:pPr>
        <w:spacing w:line="276" w:lineRule="auto" w:after="120"/>
      </w:pPr>
      <w:r>
        <w:rPr>
          <w:rFonts w:ascii="Times New Roman" w:hAnsi="Times New Roman"/>
        </w:rPr>
        <w:t>57. Futreal PA, et al. A census of human cancer genes. *Nat Rev Cancer*, 2004.</w:t>
      </w:r>
    </w:p>
    <w:p>
      <w:pPr>
        <w:spacing w:line="276" w:lineRule="auto" w:after="120"/>
      </w:pPr>
      <w:r>
        <w:rPr>
          <w:rFonts w:ascii="Times New Roman" w:hAnsi="Times New Roman"/>
        </w:rPr>
        <w:t>58. Kipf TN, Welling M. Semi-supervised classification with graph convolutional networks. *arXiv preprint*, 2016.</w:t>
      </w:r>
    </w:p>
    <w:p>
      <w:pPr>
        <w:spacing w:line="276" w:lineRule="auto" w:after="120"/>
      </w:pPr>
      <w:r>
        <w:rPr>
          <w:rFonts w:ascii="Times New Roman" w:hAnsi="Times New Roman"/>
        </w:rPr>
        <w:t>59. Ying R, et al. GNNExplainer: Generating explanations for graph neural networks. *NeurIPS*, 2019.</w:t>
      </w:r>
    </w:p>
    <w:p>
      <w:pPr>
        <w:spacing w:line="276" w:lineRule="auto" w:after="120"/>
      </w:pPr>
      <w:r>
        <w:rPr>
          <w:rFonts w:ascii="Times New Roman" w:hAnsi="Times New Roman"/>
        </w:rPr>
        <w:t>60. Lucic I, et al. Counterfactual explanations for graph neural networks. *ICML*, 2021.</w:t>
      </w:r>
    </w:p>
    <w:p>
      <w:pPr>
        <w:spacing w:line="276" w:lineRule="auto" w:after="120"/>
      </w:pPr>
      <w:r>
        <w:rPr>
          <w:rFonts w:ascii="Times New Roman" w:hAnsi="Times New Roman"/>
        </w:rPr>
        <w:t>61. Hu J, et al. Squeeze-and-excitation networks. *CVPR*, 2018.</w:t>
      </w:r>
    </w:p>
    <w:p>
      <w:pPr>
        <w:spacing w:line="276" w:lineRule="auto" w:after="120"/>
      </w:pPr>
      <w:r>
        <w:rPr>
          <w:rFonts w:ascii="Times New Roman" w:hAnsi="Times New Roman"/>
        </w:rPr>
        <w:t>62. Vaswani A, et al. Attention is all you need. *NeurIPS*, 2017.</w:t>
      </w:r>
    </w:p>
    <w:p>
      <w:pPr>
        <w:spacing w:line="276" w:lineRule="auto" w:after="120"/>
      </w:pPr>
      <w:r>
        <w:rPr>
          <w:rFonts w:ascii="Times New Roman" w:hAnsi="Times New Roman"/>
        </w:rPr>
        <w:t>63. Hu EJ, et al. LoRA: Low-rank adaptation of large language models. *ICLR*, 2022.</w:t>
      </w:r>
    </w:p>
    <w:p>
      <w:pPr>
        <w:spacing w:line="276" w:lineRule="auto" w:after="120"/>
      </w:pPr>
      <w:r>
        <w:rPr>
          <w:rFonts w:ascii="Times New Roman" w:hAnsi="Times New Roman"/>
        </w:rPr>
        <w:t>64. Gal Y, Ghahramani Z. Dropout as a bayesian approximation: Representing model uncertainty in deep learning. *ICML*, 2016.</w:t>
      </w:r>
    </w:p>
    <w:p>
      <w:pPr>
        <w:spacing w:line="276" w:lineRule="auto" w:after="120"/>
      </w:pPr>
      <w:r>
        <w:rPr>
          <w:rFonts w:ascii="Times New Roman" w:hAnsi="Times New Roman"/>
        </w:rPr>
        <w:t>65. Lin TY, et al. Focal loss for dense object detection. *ICCV*, 2017.</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