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HighBP​​</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HighChol​​</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CholCheck​​</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PhysActivity​​</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HvyAlcoholConsump​</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NoDocbc​</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GenHlth​</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MentHlth​</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PhysHlth​</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DiffWalk​​</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HeartDiseaseorAttack</w:t>
            </w:r>
            <w:r w:rsidRPr="004E47B0">
              <w:rPr>
                <w:rFonts w:eastAsia="Times New Roman" w:cs="Calibri"/>
                <w:b/>
                <w:bCs/>
                <w:color w:val="000000"/>
              </w:rPr>
              <w:t>​</w:t>
            </w:r>
            <w:r w:rsidRPr="004E47B0">
              <w:rPr>
                <w:rFonts w:eastAsia="Times New Roman" w:cs="Calibri"/>
                <w:color w:val="000000"/>
              </w:rPr>
              <w:t>​</w:t>
            </w:r>
          </w:p>
        </w:tc>
      </w:tr>
    </w:tbl>
    <w:p w14:paraId="56222384" w14:textId="76B952F2" w:rsidR="00FC28E3" w:rsidRPr="004E47B0" w:rsidRDefault="00FC28E3" w:rsidP="00FC28E3">
      <w:pPr>
        <w:spacing w:after="0" w:line="480" w:lineRule="auto"/>
        <w:jc w:val="both"/>
        <w:rPr>
          <w:rFonts w:cs="Calibri"/>
          <w:sz w:val="24"/>
          <w:szCs w:val="24"/>
        </w:rPr>
      </w:pPr>
    </w:p>
    <w:p w14:paraId="3EAFFF81" w14:textId="59459B1D" w:rsidR="00FC28E3" w:rsidRDefault="00FC28E3" w:rsidP="00FC28E3">
      <w:pPr>
        <w:spacing w:after="0" w:line="480" w:lineRule="auto"/>
        <w:jc w:val="both"/>
        <w:rPr>
          <w:rFonts w:cs="Calibri"/>
          <w:sz w:val="24"/>
          <w:szCs w:val="24"/>
        </w:rPr>
      </w:pP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77777777" w:rsidR="008D22E0" w:rsidRPr="004E47B0" w:rsidRDefault="008D22E0"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4478EE25" w14:textId="77777777" w:rsidR="00645F9A" w:rsidRPr="008D22E0" w:rsidRDefault="00645F9A" w:rsidP="00645F9A">
      <w:pPr>
        <w:pStyle w:val="ListParagraph"/>
        <w:spacing w:after="0" w:line="360" w:lineRule="auto"/>
        <w:jc w:val="both"/>
        <w:rPr>
          <w:rFonts w:asciiTheme="minorHAnsi" w:hAnsiTheme="minorHAnsi" w:cstheme="minorHAnsi"/>
          <w:sz w:val="24"/>
          <w:szCs w:val="24"/>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6D78AFD8"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r>
        <w:rPr>
          <w:rFonts w:asciiTheme="minorHAnsi" w:hAnsiTheme="minorHAnsi" w:cstheme="minorHAnsi"/>
          <w:b/>
          <w:bCs/>
          <w:sz w:val="20"/>
          <w:szCs w:val="20"/>
        </w:rPr>
        <w:t xml:space="preserve">Heart disease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or</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HighBP</w:t>
            </w:r>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77777777" w:rsidR="00E304BE" w:rsidRPr="00517B5A" w:rsidRDefault="00E304BE" w:rsidP="00E304BE">
      <w:pPr>
        <w:spacing w:after="0" w:line="360" w:lineRule="auto"/>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4D23EEAD" w14:textId="6117FA55"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lastRenderedPageBreak/>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31F34D5" w:rsidR="00046909" w:rsidRPr="008D22E0" w:rsidRDefault="00046909" w:rsidP="001F1725">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Does having high cholesterol impact one having a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lastRenderedPageBreak/>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77777777" w:rsidR="00CB56C9" w:rsidRPr="008D22E0" w:rsidRDefault="00CB56C9" w:rsidP="00CB56C9">
      <w:pPr>
        <w:pStyle w:val="ListParagraph"/>
        <w:spacing w:after="0" w:line="360" w:lineRule="auto"/>
        <w:rPr>
          <w:rFonts w:asciiTheme="minorHAnsi" w:hAnsiTheme="minorHAnsi" w:cstheme="minorHAnsi"/>
          <w:sz w:val="24"/>
          <w:szCs w:val="24"/>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4CCD4A0D" w14:textId="52E89EEA" w:rsidR="00046909" w:rsidRPr="008D22E0" w:rsidRDefault="001F1725" w:rsidP="00FC3917">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04FE897E" w14:textId="073F8416" w:rsidR="00825708" w:rsidRDefault="00890CB9" w:rsidP="00046909">
      <w:pPr>
        <w:pStyle w:val="ListParagraph"/>
        <w:spacing w:after="0" w:line="360" w:lineRule="auto"/>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49CB86E2" wp14:editId="53BA1DD9">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sidR="00C310AF" w:rsidRPr="008D22E0">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noProof/>
        </w:rPr>
        <w:drawing>
          <wp:inline distT="0" distB="0" distL="0" distR="0" wp14:anchorId="5EE41900" wp14:editId="54A1068F">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7AA946C7" w14:textId="23AA09BE" w:rsidR="00890CB9" w:rsidRPr="00890CB9" w:rsidRDefault="00890CB9" w:rsidP="00890CB9">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sidRPr="00890CB9">
        <w:rPr>
          <w:rFonts w:asciiTheme="minorHAnsi" w:hAnsiTheme="minorHAnsi" w:cstheme="minorHAnsi"/>
          <w:b/>
          <w:bCs/>
          <w:sz w:val="20"/>
          <w:szCs w:val="20"/>
        </w:rPr>
        <w:tab/>
      </w:r>
      <w:r w:rsidRPr="00890CB9">
        <w:rPr>
          <w:rFonts w:asciiTheme="minorHAnsi" w:hAnsiTheme="minorHAnsi" w:cstheme="minorHAnsi"/>
          <w:b/>
          <w:bCs/>
          <w:sz w:val="20"/>
          <w:szCs w:val="20"/>
        </w:rPr>
        <w:tab/>
        <w:t xml:space="preserve">            Fig – 11: Boxplot for heart disease or attack </w:t>
      </w:r>
    </w:p>
    <w:p w14:paraId="2ABAE695" w14:textId="642F789E" w:rsidR="00890CB9" w:rsidRDefault="00890CB9" w:rsidP="00890CB9">
      <w:pPr>
        <w:pStyle w:val="ListParagraph"/>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vs income</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145898FA"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6</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77777777"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Fig – 12: Distribution of alcohol consumption                 Fig – 13: Heart disease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77777777"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SMART Question 7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There are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5D22C13"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14: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 xml:space="preserve">Fig – 15: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29B0F1AA" w14:textId="221481AC"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high cholesterol and heart disease or attack, it can be observed that people who do not have high cholesterol have less chances of having a heart disease or attack, while the opposite is noted when there is</w:t>
      </w:r>
      <w:r w:rsidR="002A7CD1">
        <w:rPr>
          <w:rFonts w:asciiTheme="minorHAnsi" w:hAnsiTheme="minorHAnsi" w:cstheme="minorHAnsi"/>
          <w:sz w:val="24"/>
          <w:szCs w:val="24"/>
        </w:rPr>
        <w:t xml:space="preserve"> high cholesterol and chance of getting a heart disease or attack.</w:t>
      </w:r>
    </w:p>
    <w:p w14:paraId="07BF5F6E" w14:textId="6E2137B8" w:rsidR="000831B5" w:rsidRDefault="000831B5" w:rsidP="000831B5">
      <w:pPr>
        <w:spacing w:after="0" w:line="360" w:lineRule="auto"/>
        <w:jc w:val="both"/>
        <w:rPr>
          <w:rFonts w:asciiTheme="minorHAnsi" w:hAnsiTheme="minorHAnsi" w:cstheme="minorHAnsi"/>
          <w:sz w:val="24"/>
          <w:szCs w:val="24"/>
        </w:rPr>
      </w:pPr>
    </w:p>
    <w:p w14:paraId="0B638DE6" w14:textId="0CB95928" w:rsidR="000831B5" w:rsidRDefault="000831B5" w:rsidP="000831B5">
      <w:pPr>
        <w:spacing w:after="0" w:line="360" w:lineRule="auto"/>
        <w:jc w:val="both"/>
        <w:rPr>
          <w:rFonts w:asciiTheme="minorHAnsi" w:hAnsiTheme="minorHAnsi" w:cstheme="minorHAnsi"/>
          <w:sz w:val="24"/>
          <w:szCs w:val="24"/>
        </w:rPr>
      </w:pPr>
    </w:p>
    <w:p w14:paraId="3D9E0E33" w14:textId="48DC0C62"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lastRenderedPageBreak/>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HighBP</w:t>
            </w:r>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HighChol</w:t>
            </w:r>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PhysActivity</w:t>
            </w:r>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HvyAlcoholConsump</w:t>
            </w:r>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NoDocbcCost</w:t>
            </w:r>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MentHlth</w:t>
            </w:r>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PhysHlth</w:t>
            </w:r>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DiffWalk</w:t>
            </w:r>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77777777" w:rsidR="00CE041C" w:rsidRPr="006D6E9E" w:rsidRDefault="00CE041C" w:rsidP="00CE041C">
      <w:pP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lastRenderedPageBreak/>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r w:rsidRPr="00CE041C">
              <w:rPr>
                <w:sz w:val="24"/>
                <w:szCs w:val="24"/>
              </w:rPr>
              <w:t>XGBoost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77777777" w:rsidR="00CE041C" w:rsidRPr="00CE041C" w:rsidRDefault="00CE041C" w:rsidP="00CE041C">
      <w:pPr>
        <w:ind w:left="1077"/>
        <w:rPr>
          <w:sz w:val="24"/>
          <w:szCs w:val="24"/>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49F68CCA" w14:textId="77777777" w:rsidR="006D6E9E" w:rsidRPr="006D6E9E" w:rsidRDefault="006D6E9E" w:rsidP="006D6E9E">
      <w:pPr>
        <w:spacing w:line="360" w:lineRule="auto"/>
        <w:jc w:val="both"/>
        <w:rPr>
          <w:sz w:val="20"/>
          <w:szCs w:val="20"/>
        </w:rPr>
      </w:pPr>
    </w:p>
    <w:p w14:paraId="44025BBA" w14:textId="77777777" w:rsidR="00CE041C" w:rsidRPr="00CE041C" w:rsidRDefault="00CE041C" w:rsidP="00CE041C">
      <w:pPr>
        <w:rPr>
          <w:sz w:val="24"/>
          <w:szCs w:val="24"/>
          <w:u w:val="single"/>
        </w:rPr>
      </w:pPr>
      <w:r w:rsidRPr="00CE041C">
        <w:rPr>
          <w:sz w:val="24"/>
          <w:szCs w:val="24"/>
          <w:u w:val="single"/>
        </w:rPr>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lastRenderedPageBreak/>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Consider one of those neighbors and identify the vector beterrn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17E409EE" w14:textId="6234946E" w:rsidR="00DF62E8" w:rsidRPr="00F41825" w:rsidRDefault="00DF62E8" w:rsidP="001055E3">
      <w:pPr>
        <w:pStyle w:val="ListParagraph"/>
        <w:numPr>
          <w:ilvl w:val="0"/>
          <w:numId w:val="19"/>
        </w:numPr>
        <w:spacing w:line="360" w:lineRule="auto"/>
        <w:jc w:val="both"/>
        <w:rPr>
          <w:sz w:val="24"/>
          <w:szCs w:val="24"/>
        </w:rPr>
      </w:pPr>
      <w:r w:rsidRPr="00F41825">
        <w:rPr>
          <w:sz w:val="24"/>
          <w:szCs w:val="24"/>
        </w:rPr>
        <w:t xml:space="preserve">Balancing the data also helps in reducing bias in the dataset. </w:t>
      </w:r>
      <w:r w:rsidR="00095663" w:rsidRPr="00F41825">
        <w:rPr>
          <w:sz w:val="24"/>
          <w:szCs w:val="24"/>
        </w:rPr>
        <w:t>Bias and variance were estimated using mlxtend package and the method bias</w:t>
      </w:r>
      <w:r w:rsidR="003B2FD4" w:rsidRPr="00F41825">
        <w:rPr>
          <w:sz w:val="24"/>
          <w:szCs w:val="24"/>
        </w:rPr>
        <w:t xml:space="preserve">_variance_decomp </w:t>
      </w:r>
      <w:r w:rsidR="00F41825" w:rsidRPr="00F41825">
        <w:rPr>
          <w:sz w:val="24"/>
          <w:szCs w:val="24"/>
        </w:rPr>
        <w:t>which showed a difference in bias before and after balancing the data using SMOTE.</w:t>
      </w:r>
    </w:p>
    <w:p w14:paraId="4B8E65FD" w14:textId="77777777" w:rsidR="00CE041C" w:rsidRPr="006D6E9E" w:rsidRDefault="00CE041C"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lastRenderedPageBreak/>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r w:rsidRPr="00CE041C">
              <w:rPr>
                <w:sz w:val="24"/>
                <w:szCs w:val="24"/>
              </w:rPr>
              <w:t>XGBoost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77777777" w:rsidR="00CE041C" w:rsidRPr="00CE041C" w:rsidRDefault="00CE041C" w:rsidP="00CE041C">
      <w:pPr>
        <w:pStyle w:val="ListParagraph"/>
        <w:rPr>
          <w:sz w:val="24"/>
          <w:szCs w:val="24"/>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t>From the above table, it can be concluded that Random Forest Classifier performs better for both yes heart disease or attack and no heart disease or attack.</w:t>
      </w:r>
    </w:p>
    <w:p w14:paraId="48613169" w14:textId="77777777" w:rsidR="00CE041C" w:rsidRPr="00CE041C" w:rsidRDefault="00CE041C" w:rsidP="00CE041C">
      <w:pPr>
        <w:rPr>
          <w:sz w:val="24"/>
          <w:szCs w:val="24"/>
        </w:rPr>
      </w:pPr>
    </w:p>
    <w:p w14:paraId="53B1533F" w14:textId="77777777" w:rsidR="00CE041C" w:rsidRPr="00CE041C" w:rsidRDefault="00CE041C" w:rsidP="00CE041C">
      <w:pPr>
        <w:rPr>
          <w:sz w:val="24"/>
          <w:szCs w:val="24"/>
        </w:rPr>
      </w:pPr>
    </w:p>
    <w:p w14:paraId="3CD3E7FD" w14:textId="77777777" w:rsidR="00517B5A" w:rsidRPr="00CE041C" w:rsidRDefault="00517B5A" w:rsidP="000831B5">
      <w:pPr>
        <w:spacing w:after="0" w:line="360" w:lineRule="auto"/>
        <w:jc w:val="both"/>
        <w:rPr>
          <w:rFonts w:asciiTheme="minorHAnsi" w:hAnsiTheme="minorHAnsi" w:cstheme="minorHAnsi"/>
          <w:sz w:val="24"/>
          <w:szCs w:val="24"/>
        </w:rPr>
      </w:pPr>
    </w:p>
    <w:sectPr w:rsidR="00517B5A" w:rsidRPr="00CE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0"/>
  </w:num>
  <w:num w:numId="2" w16cid:durableId="1083408238">
    <w:abstractNumId w:val="17"/>
  </w:num>
  <w:num w:numId="3" w16cid:durableId="1393382541">
    <w:abstractNumId w:val="16"/>
  </w:num>
  <w:num w:numId="4" w16cid:durableId="2029870671">
    <w:abstractNumId w:val="15"/>
  </w:num>
  <w:num w:numId="5" w16cid:durableId="2017413312">
    <w:abstractNumId w:val="11"/>
  </w:num>
  <w:num w:numId="6" w16cid:durableId="1042362101">
    <w:abstractNumId w:val="7"/>
  </w:num>
  <w:num w:numId="7" w16cid:durableId="173233750">
    <w:abstractNumId w:val="5"/>
  </w:num>
  <w:num w:numId="8" w16cid:durableId="649790972">
    <w:abstractNumId w:val="2"/>
  </w:num>
  <w:num w:numId="9" w16cid:durableId="1631130982">
    <w:abstractNumId w:val="8"/>
  </w:num>
  <w:num w:numId="10" w16cid:durableId="792093693">
    <w:abstractNumId w:val="12"/>
  </w:num>
  <w:num w:numId="11" w16cid:durableId="49808099">
    <w:abstractNumId w:val="19"/>
  </w:num>
  <w:num w:numId="12" w16cid:durableId="76755300">
    <w:abstractNumId w:val="6"/>
  </w:num>
  <w:num w:numId="13" w16cid:durableId="179784570">
    <w:abstractNumId w:val="14"/>
  </w:num>
  <w:num w:numId="14" w16cid:durableId="1158424916">
    <w:abstractNumId w:val="9"/>
  </w:num>
  <w:num w:numId="15" w16cid:durableId="1577201416">
    <w:abstractNumId w:val="1"/>
  </w:num>
  <w:num w:numId="16" w16cid:durableId="2002004299">
    <w:abstractNumId w:val="0"/>
  </w:num>
  <w:num w:numId="17" w16cid:durableId="1418019310">
    <w:abstractNumId w:val="18"/>
  </w:num>
  <w:num w:numId="18" w16cid:durableId="281301129">
    <w:abstractNumId w:val="3"/>
  </w:num>
  <w:num w:numId="19" w16cid:durableId="1862736971">
    <w:abstractNumId w:val="13"/>
  </w:num>
  <w:num w:numId="20" w16cid:durableId="606742055">
    <w:abstractNumId w:val="10"/>
  </w:num>
  <w:num w:numId="21" w16cid:durableId="1718697508">
    <w:abstractNumId w:val="4"/>
  </w:num>
  <w:num w:numId="22" w16cid:durableId="1281955532">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6909"/>
    <w:rsid w:val="000808CC"/>
    <w:rsid w:val="000831B5"/>
    <w:rsid w:val="0008336C"/>
    <w:rsid w:val="00095663"/>
    <w:rsid w:val="000A4B6F"/>
    <w:rsid w:val="001321D9"/>
    <w:rsid w:val="001E4DFD"/>
    <w:rsid w:val="001E5F1A"/>
    <w:rsid w:val="001F1725"/>
    <w:rsid w:val="00252CE4"/>
    <w:rsid w:val="002820B4"/>
    <w:rsid w:val="002A5E1B"/>
    <w:rsid w:val="002A7CD1"/>
    <w:rsid w:val="0037516E"/>
    <w:rsid w:val="003B2FD4"/>
    <w:rsid w:val="003D445B"/>
    <w:rsid w:val="003D5036"/>
    <w:rsid w:val="00432F47"/>
    <w:rsid w:val="00476D1A"/>
    <w:rsid w:val="00484E0E"/>
    <w:rsid w:val="004A1A59"/>
    <w:rsid w:val="004B0379"/>
    <w:rsid w:val="004B654C"/>
    <w:rsid w:val="004E47B0"/>
    <w:rsid w:val="00502A8F"/>
    <w:rsid w:val="00517B5A"/>
    <w:rsid w:val="00523173"/>
    <w:rsid w:val="00575FF8"/>
    <w:rsid w:val="0060503B"/>
    <w:rsid w:val="00645F9A"/>
    <w:rsid w:val="006A51A2"/>
    <w:rsid w:val="006B688E"/>
    <w:rsid w:val="006D6E9E"/>
    <w:rsid w:val="00792E96"/>
    <w:rsid w:val="007D6C44"/>
    <w:rsid w:val="007F676D"/>
    <w:rsid w:val="0082515A"/>
    <w:rsid w:val="00825708"/>
    <w:rsid w:val="00862F1D"/>
    <w:rsid w:val="00875C33"/>
    <w:rsid w:val="00890CB9"/>
    <w:rsid w:val="008D22E0"/>
    <w:rsid w:val="0092172D"/>
    <w:rsid w:val="009A7040"/>
    <w:rsid w:val="009D1229"/>
    <w:rsid w:val="00A41F15"/>
    <w:rsid w:val="00A7360B"/>
    <w:rsid w:val="00AD0653"/>
    <w:rsid w:val="00AD4D79"/>
    <w:rsid w:val="00AF64CF"/>
    <w:rsid w:val="00AF689F"/>
    <w:rsid w:val="00AF70AD"/>
    <w:rsid w:val="00BC6377"/>
    <w:rsid w:val="00C06EFF"/>
    <w:rsid w:val="00C310AF"/>
    <w:rsid w:val="00C442F6"/>
    <w:rsid w:val="00C8482B"/>
    <w:rsid w:val="00CA1F95"/>
    <w:rsid w:val="00CB56C9"/>
    <w:rsid w:val="00CC1895"/>
    <w:rsid w:val="00CE041C"/>
    <w:rsid w:val="00D14D8C"/>
    <w:rsid w:val="00D50DF2"/>
    <w:rsid w:val="00DC3ADD"/>
    <w:rsid w:val="00DF62E8"/>
    <w:rsid w:val="00E304BE"/>
    <w:rsid w:val="00E44F10"/>
    <w:rsid w:val="00E56CBB"/>
    <w:rsid w:val="00E8511F"/>
    <w:rsid w:val="00EC5BA3"/>
    <w:rsid w:val="00F11CDF"/>
    <w:rsid w:val="00F123A1"/>
    <w:rsid w:val="00F41825"/>
    <w:rsid w:val="00FC28E3"/>
    <w:rsid w:val="00FC3917"/>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13</Pages>
  <Words>1992</Words>
  <Characters>10103</Characters>
  <Application>Microsoft Office Word</Application>
  <DocSecurity>0</DocSecurity>
  <Lines>481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Mateti Akhil Bharadwaj</cp:lastModifiedBy>
  <cp:revision>40</cp:revision>
  <dcterms:created xsi:type="dcterms:W3CDTF">2022-12-16T19:50:00Z</dcterms:created>
  <dcterms:modified xsi:type="dcterms:W3CDTF">2022-12-18T18:32:00Z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7a8f046996efd79129533e1084e701ffaad2fc1a6e0d1a9cff8d2f28eca8fdb1</vt:lpwstr>
  </property>
</Properties>
</file>