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br/>
        <w:br/>
        <w:br/>
        <w:t>YUVAINTERN INTERNSHIP – TASK 2</w:t>
        <w:br/>
      </w:r>
    </w:p>
    <w:p>
      <w:pPr>
        <w:jc w:val="center"/>
      </w:pPr>
      <w:r>
        <w:rPr>
          <w:b/>
          <w:color w:val="1F4E79"/>
          <w:sz w:val="46"/>
        </w:rPr>
        <w:t>AI Operations Execution Simulation Report</w:t>
      </w:r>
    </w:p>
    <w:p>
      <w:pPr>
        <w:jc w:val="center"/>
      </w:pPr>
      <w:r>
        <w:rPr>
          <w:i/>
        </w:rPr>
        <w:br/>
        <w:t>A simulated execution model for an AI-based customer-support ticket classification system</w:t>
      </w:r>
    </w:p>
    <w:p>
      <w:r>
        <w:br/>
        <w:br/>
      </w:r>
    </w:p>
    <w:p>
      <w:pPr>
        <w:jc w:val="center"/>
      </w:pPr>
      <w:r>
        <w:t>Submitted by: Akhila Gunti</w:t>
      </w:r>
    </w:p>
    <w:p>
      <w:pPr>
        <w:jc w:val="center"/>
      </w:pPr>
      <w:r>
        <w:t>Course: B.Tech – Computer Science and Engineering (Artificial Intelligence and Machine Learning)</w:t>
      </w:r>
    </w:p>
    <w:p>
      <w:pPr>
        <w:jc w:val="center"/>
      </w:pPr>
      <w:r>
        <w:t>Institution: SVS Group of Institutions, Bheemaram, Hanamkonda</w:t>
      </w:r>
    </w:p>
    <w:p>
      <w:pPr>
        <w:jc w:val="center"/>
      </w:pPr>
      <w:r>
        <w:t>Internship platform: YuvaIntern</w:t>
      </w:r>
    </w:p>
    <w:p>
      <w:pPr>
        <w:jc w:val="center"/>
      </w:pPr>
      <w:r>
        <w:t>Task: Task 2 – Simulation of AI Operations Execution</w:t>
      </w:r>
    </w:p>
    <w:p>
      <w:pPr>
        <w:jc w:val="center"/>
      </w:pPr>
      <w:r>
        <w:t>Submission date: 11 October 2026</w:t>
      </w:r>
    </w:p>
    <w:p>
      <w:r>
        <w:br w:type="page"/>
      </w:r>
    </w:p>
    <w:p>
      <w:pPr>
        <w:pStyle w:val="Heading1"/>
      </w:pPr>
      <w:r>
        <w:t>Abstract</w:t>
      </w:r>
    </w:p>
    <w:p>
      <w:r>
        <w:t>This report documents a practical simulation of the execution phase of an AI operations project. The selected scenario is an AI-based customer-support ticket classification workflow that sorts incoming support requests into categories such as billing, technical issue, account access, and general enquiry, then assigns a priority for human review. The report defines the objective, resources, operational parameters, timetable, workflow, monitoring metrics, simulated results, operational challenges, mitigations, and an improvement plan. The numerical results in this report are illustrative outputs for a designed simulation; they are not claims from a live production deployment or a measured experiment on a real customer dataset.</w:t>
      </w:r>
    </w:p>
    <w:p>
      <w:pPr>
        <w:pStyle w:val="Heading1"/>
      </w:pPr>
      <w:r>
        <w:t>1. Introduction</w:t>
      </w:r>
    </w:p>
    <w:p>
      <w:r>
        <w:t>AI operations (AIOps/MLOps in this context) involves preparing data, deploying or running an AI workflow, monitoring its performance, managing exceptions, and using evidence to improve reliability. A simulation allows an analyst to rehearse these activities safely before a real rollout. This report uses a fictional online service company that receives a high volume of customer-support tickets. The simulated AI component classifies ticket text and recommends a priority, while a human agent remains responsible for reviewing uncertain or high-impact cases.</w:t>
      </w:r>
    </w:p>
    <w:p>
      <w:pPr>
        <w:pStyle w:val="Heading1"/>
      </w:pPr>
      <w:r>
        <w:t>2. Objectives</w:t>
      </w:r>
    </w:p>
    <w:p>
      <w:pPr>
        <w:pStyle w:val="ListBullet"/>
      </w:pPr>
      <w:r>
        <w:t>Demonstrate an end-to-end AI operations execution process in a controlled virtual scenario.</w:t>
      </w:r>
    </w:p>
    <w:p>
      <w:pPr>
        <w:pStyle w:val="ListBullet"/>
      </w:pPr>
      <w:r>
        <w:t>Define resources, operational parameters, a timetable, and measurable success criteria before execution.</w:t>
      </w:r>
    </w:p>
    <w:p>
      <w:pPr>
        <w:pStyle w:val="ListBullet"/>
      </w:pPr>
      <w:r>
        <w:t>Simulate normal tickets, ambiguous requests, urgent issues, missing information, and system exceptions.</w:t>
      </w:r>
    </w:p>
    <w:p>
      <w:pPr>
        <w:pStyle w:val="ListBullet"/>
      </w:pPr>
      <w:r>
        <w:t>Record performance and operational issues, then recommend practical corrective actions.</w:t>
      </w:r>
    </w:p>
    <w:p>
      <w:pPr>
        <w:pStyle w:val="ListBullet"/>
      </w:pPr>
      <w:r>
        <w:t>Show how human review, monitoring, and a feedback loop can improve safe and reliable AI operations.</w:t>
      </w:r>
    </w:p>
    <w:p>
      <w:pPr>
        <w:pStyle w:val="Heading1"/>
      </w:pPr>
      <w:r>
        <w:t>3. Scenario and Scope</w:t>
      </w:r>
    </w:p>
    <w:p>
      <w:r>
        <w:t>Scenario: A fictional e-commerce support team receives 1,000 incoming tickets during a simulated test window. The AI workflow proposes one of four categories—Billing, Technical Issue, Account Access, or General Enquiry—and a priority level—High, Medium, or Low. A routing rule sends high-priority and low-confidence predictions to a human queue. The simulation focuses on workflow execution and operational controls rather than training a production-grade model.</w:t>
      </w:r>
    </w:p>
    <w:p>
      <w:r>
        <w:t>In scope: synthetic ticket preparation, input validation, AI-style classification simulation, routing, monitoring, exception handling, outcome analysis, and recommendations. Out of scope: real customer data, actual customer notifications, production deployment, and claims of real-world business impact.</w:t>
      </w:r>
    </w:p>
    <w:p>
      <w:pPr>
        <w:pStyle w:val="Heading1"/>
      </w:pPr>
      <w:r>
        <w:t>4. Resources Required</w:t>
      </w:r>
    </w:p>
    <w:tbl>
      <w:tblPr>
        <w:tblStyle w:val="TableGrid"/>
        <w:tblW w:type="auto" w:w="0"/>
        <w:jc w:val="center"/>
        <w:tblLook w:firstColumn="1" w:firstRow="1" w:lastColumn="0" w:lastRow="0" w:noHBand="0" w:noVBand="1" w:val="04A0"/>
      </w:tblPr>
      <w:tblGrid>
        <w:gridCol w:w="4968"/>
        <w:gridCol w:w="4968"/>
      </w:tblGrid>
      <w:tr>
        <w:tc>
          <w:tcPr>
            <w:tcW w:type="dxa" w:w="3168"/>
            <w:shd w:fill="D9EAF7"/>
            <w:vAlign w:val="center"/>
          </w:tcPr>
          <w:p>
            <w:r>
              <w:rPr>
                <w:b/>
              </w:rPr>
              <w:t>Resource</w:t>
            </w:r>
          </w:p>
        </w:tc>
        <w:tc>
          <w:tcPr>
            <w:tcW w:type="dxa" w:w="6912"/>
            <w:shd w:fill="D9EAF7"/>
            <w:vAlign w:val="center"/>
          </w:tcPr>
          <w:p>
            <w:r>
              <w:rPr>
                <w:b/>
              </w:rPr>
              <w:t>Purpose</w:t>
            </w:r>
          </w:p>
        </w:tc>
      </w:tr>
      <w:tr>
        <w:tc>
          <w:tcPr>
            <w:tcW w:type="dxa" w:w="3168"/>
            <w:vAlign w:val="center"/>
          </w:tcPr>
          <w:p>
            <w:r>
              <w:t>Laptop or virtual environment</w:t>
            </w:r>
          </w:p>
        </w:tc>
        <w:tc>
          <w:tcPr>
            <w:tcW w:type="dxa" w:w="6912"/>
            <w:vAlign w:val="center"/>
          </w:tcPr>
          <w:p>
            <w:r>
              <w:t>Run the workflow and record results.</w:t>
            </w:r>
          </w:p>
        </w:tc>
      </w:tr>
      <w:tr>
        <w:tc>
          <w:tcPr>
            <w:tcW w:type="dxa" w:w="3168"/>
            <w:vAlign w:val="center"/>
          </w:tcPr>
          <w:p>
            <w:r>
              <w:t>Python / spreadsheet (proposed tools)</w:t>
            </w:r>
          </w:p>
        </w:tc>
        <w:tc>
          <w:tcPr>
            <w:tcW w:type="dxa" w:w="6912"/>
            <w:vAlign w:val="center"/>
          </w:tcPr>
          <w:p>
            <w:r>
              <w:t>Create or inspect synthetic records and calculate metrics.</w:t>
            </w:r>
          </w:p>
        </w:tc>
      </w:tr>
      <w:tr>
        <w:tc>
          <w:tcPr>
            <w:tcW w:type="dxa" w:w="3168"/>
            <w:vAlign w:val="center"/>
          </w:tcPr>
          <w:p>
            <w:r>
              <w:t>Sample ticket dataset</w:t>
            </w:r>
          </w:p>
        </w:tc>
        <w:tc>
          <w:tcPr>
            <w:tcW w:type="dxa" w:w="6912"/>
            <w:vAlign w:val="center"/>
          </w:tcPr>
          <w:p>
            <w:r>
              <w:t>Use 1,000 fictional or synthetic ticket records; no personal data.</w:t>
            </w:r>
          </w:p>
        </w:tc>
      </w:tr>
      <w:tr>
        <w:tc>
          <w:tcPr>
            <w:tcW w:type="dxa" w:w="3168"/>
            <w:vAlign w:val="center"/>
          </w:tcPr>
          <w:p>
            <w:r>
              <w:t>AI classifier or mock prediction module</w:t>
            </w:r>
          </w:p>
        </w:tc>
        <w:tc>
          <w:tcPr>
            <w:tcW w:type="dxa" w:w="6912"/>
            <w:vAlign w:val="center"/>
          </w:tcPr>
          <w:p>
            <w:r>
              <w:t>Generate category and priority predictions for the simulation.</w:t>
            </w:r>
          </w:p>
        </w:tc>
      </w:tr>
      <w:tr>
        <w:tc>
          <w:tcPr>
            <w:tcW w:type="dxa" w:w="3168"/>
            <w:vAlign w:val="center"/>
          </w:tcPr>
          <w:p>
            <w:r>
              <w:t>Monitoring sheet/dashboard</w:t>
            </w:r>
          </w:p>
        </w:tc>
        <w:tc>
          <w:tcPr>
            <w:tcW w:type="dxa" w:w="6912"/>
            <w:vAlign w:val="center"/>
          </w:tcPr>
          <w:p>
            <w:r>
              <w:t>Track volume, latency, accuracy, exceptions, and human-review rate.</w:t>
            </w:r>
          </w:p>
        </w:tc>
      </w:tr>
      <w:tr>
        <w:tc>
          <w:tcPr>
            <w:tcW w:type="dxa" w:w="3168"/>
            <w:vAlign w:val="center"/>
          </w:tcPr>
          <w:p>
            <w:r>
              <w:t>Operations analyst</w:t>
            </w:r>
          </w:p>
        </w:tc>
        <w:tc>
          <w:tcPr>
            <w:tcW w:type="dxa" w:w="6912"/>
            <w:vAlign w:val="center"/>
          </w:tcPr>
          <w:p>
            <w:r>
              <w:t>Run checks, investigate failures, and document decisions.</w:t>
            </w:r>
          </w:p>
        </w:tc>
      </w:tr>
      <w:tr>
        <w:tc>
          <w:tcPr>
            <w:tcW w:type="dxa" w:w="3168"/>
            <w:vAlign w:val="center"/>
          </w:tcPr>
          <w:p>
            <w:r>
              <w:t>Support-team reviewer</w:t>
            </w:r>
          </w:p>
        </w:tc>
        <w:tc>
          <w:tcPr>
            <w:tcW w:type="dxa" w:w="6912"/>
            <w:vAlign w:val="center"/>
          </w:tcPr>
          <w:p>
            <w:r>
              <w:t>Validate uncertain and high-priority cases using a human-in-the-loop process.</w:t>
            </w:r>
          </w:p>
        </w:tc>
      </w:tr>
    </w:tbl>
    <w:p/>
    <w:p>
      <w:pPr>
        <w:pStyle w:val="Heading1"/>
      </w:pPr>
      <w:r>
        <w:t>5. Simulation Design and Operational Parameters</w:t>
      </w:r>
    </w:p>
    <w:tbl>
      <w:tblPr>
        <w:tblStyle w:val="TableGrid"/>
        <w:tblW w:type="auto" w:w="0"/>
        <w:jc w:val="center"/>
        <w:tblLook w:firstColumn="1" w:firstRow="1" w:lastColumn="0" w:lastRow="0" w:noHBand="0" w:noVBand="1" w:val="04A0"/>
      </w:tblPr>
      <w:tblGrid>
        <w:gridCol w:w="3312"/>
        <w:gridCol w:w="3312"/>
        <w:gridCol w:w="3312"/>
      </w:tblGrid>
      <w:tr>
        <w:tc>
          <w:tcPr>
            <w:tcW w:type="dxa" w:w="2592"/>
            <w:shd w:fill="D9EAF7"/>
            <w:vAlign w:val="center"/>
          </w:tcPr>
          <w:p>
            <w:r>
              <w:rPr>
                <w:b/>
              </w:rPr>
              <w:t>Parameter</w:t>
            </w:r>
          </w:p>
        </w:tc>
        <w:tc>
          <w:tcPr>
            <w:tcW w:type="dxa" w:w="3168"/>
            <w:shd w:fill="D9EAF7"/>
            <w:vAlign w:val="center"/>
          </w:tcPr>
          <w:p>
            <w:r>
              <w:rPr>
                <w:b/>
              </w:rPr>
              <w:t>Simulation setting</w:t>
            </w:r>
          </w:p>
        </w:tc>
        <w:tc>
          <w:tcPr>
            <w:tcW w:type="dxa" w:w="4320"/>
            <w:shd w:fill="D9EAF7"/>
            <w:vAlign w:val="center"/>
          </w:tcPr>
          <w:p>
            <w:r>
              <w:rPr>
                <w:b/>
              </w:rPr>
              <w:t>Reason</w:t>
            </w:r>
          </w:p>
        </w:tc>
      </w:tr>
      <w:tr>
        <w:tc>
          <w:tcPr>
            <w:tcW w:type="dxa" w:w="2592"/>
            <w:vAlign w:val="center"/>
          </w:tcPr>
          <w:p>
            <w:r>
              <w:t>Incoming ticket volume</w:t>
            </w:r>
          </w:p>
        </w:tc>
        <w:tc>
          <w:tcPr>
            <w:tcW w:type="dxa" w:w="3168"/>
            <w:vAlign w:val="center"/>
          </w:tcPr>
          <w:p>
            <w:r>
              <w:t>1,000 synthetic tickets</w:t>
            </w:r>
          </w:p>
        </w:tc>
        <w:tc>
          <w:tcPr>
            <w:tcW w:type="dxa" w:w="4320"/>
            <w:vAlign w:val="center"/>
          </w:tcPr>
          <w:p>
            <w:r>
              <w:t>Large enough to exercise routing and exception handling.</w:t>
            </w:r>
          </w:p>
        </w:tc>
      </w:tr>
      <w:tr>
        <w:tc>
          <w:tcPr>
            <w:tcW w:type="dxa" w:w="2592"/>
            <w:vAlign w:val="center"/>
          </w:tcPr>
          <w:p>
            <w:r>
              <w:t>Ticket categories</w:t>
            </w:r>
          </w:p>
        </w:tc>
        <w:tc>
          <w:tcPr>
            <w:tcW w:type="dxa" w:w="3168"/>
            <w:vAlign w:val="center"/>
          </w:tcPr>
          <w:p>
            <w:r>
              <w:t>4 categories</w:t>
            </w:r>
          </w:p>
        </w:tc>
        <w:tc>
          <w:tcPr>
            <w:tcW w:type="dxa" w:w="4320"/>
            <w:vAlign w:val="center"/>
          </w:tcPr>
          <w:p>
            <w:r>
              <w:t>Represents common support topics.</w:t>
            </w:r>
          </w:p>
        </w:tc>
      </w:tr>
      <w:tr>
        <w:tc>
          <w:tcPr>
            <w:tcW w:type="dxa" w:w="2592"/>
            <w:vAlign w:val="center"/>
          </w:tcPr>
          <w:p>
            <w:r>
              <w:t>Priority levels</w:t>
            </w:r>
          </w:p>
        </w:tc>
        <w:tc>
          <w:tcPr>
            <w:tcW w:type="dxa" w:w="3168"/>
            <w:vAlign w:val="center"/>
          </w:tcPr>
          <w:p>
            <w:r>
              <w:t>High / Medium / Low</w:t>
            </w:r>
          </w:p>
        </w:tc>
        <w:tc>
          <w:tcPr>
            <w:tcW w:type="dxa" w:w="4320"/>
            <w:vAlign w:val="center"/>
          </w:tcPr>
          <w:p>
            <w:r>
              <w:t>Supports urgency-based routing.</w:t>
            </w:r>
          </w:p>
        </w:tc>
      </w:tr>
      <w:tr>
        <w:tc>
          <w:tcPr>
            <w:tcW w:type="dxa" w:w="2592"/>
            <w:vAlign w:val="center"/>
          </w:tcPr>
          <w:p>
            <w:r>
              <w:t>Confidence threshold</w:t>
            </w:r>
          </w:p>
        </w:tc>
        <w:tc>
          <w:tcPr>
            <w:tcW w:type="dxa" w:w="3168"/>
            <w:vAlign w:val="center"/>
          </w:tcPr>
          <w:p>
            <w:r>
              <w:t>0.75 (illustrative)</w:t>
            </w:r>
          </w:p>
        </w:tc>
        <w:tc>
          <w:tcPr>
            <w:tcW w:type="dxa" w:w="4320"/>
            <w:vAlign w:val="center"/>
          </w:tcPr>
          <w:p>
            <w:r>
              <w:t>Predictions below the threshold are sent for review.</w:t>
            </w:r>
          </w:p>
        </w:tc>
      </w:tr>
      <w:tr>
        <w:tc>
          <w:tcPr>
            <w:tcW w:type="dxa" w:w="2592"/>
            <w:vAlign w:val="center"/>
          </w:tcPr>
          <w:p>
            <w:r>
              <w:t>Target category accuracy</w:t>
            </w:r>
          </w:p>
        </w:tc>
        <w:tc>
          <w:tcPr>
            <w:tcW w:type="dxa" w:w="3168"/>
            <w:vAlign w:val="center"/>
          </w:tcPr>
          <w:p>
            <w:r>
              <w:t>At least 90% on labelled test records</w:t>
            </w:r>
          </w:p>
        </w:tc>
        <w:tc>
          <w:tcPr>
            <w:tcW w:type="dxa" w:w="4320"/>
            <w:vAlign w:val="center"/>
          </w:tcPr>
          <w:p>
            <w:r>
              <w:t>Checks classification quality.</w:t>
            </w:r>
          </w:p>
        </w:tc>
      </w:tr>
      <w:tr>
        <w:tc>
          <w:tcPr>
            <w:tcW w:type="dxa" w:w="2592"/>
            <w:vAlign w:val="center"/>
          </w:tcPr>
          <w:p>
            <w:r>
              <w:t>Target processing time</w:t>
            </w:r>
          </w:p>
        </w:tc>
        <w:tc>
          <w:tcPr>
            <w:tcW w:type="dxa" w:w="3168"/>
            <w:vAlign w:val="center"/>
          </w:tcPr>
          <w:p>
            <w:r>
              <w:t>Median below 2 seconds per ticket</w:t>
            </w:r>
          </w:p>
        </w:tc>
        <w:tc>
          <w:tcPr>
            <w:tcW w:type="dxa" w:w="4320"/>
            <w:vAlign w:val="center"/>
          </w:tcPr>
          <w:p>
            <w:r>
              <w:t>Checks workflow responsiveness in the simulation.</w:t>
            </w:r>
          </w:p>
        </w:tc>
      </w:tr>
      <w:tr>
        <w:tc>
          <w:tcPr>
            <w:tcW w:type="dxa" w:w="2592"/>
            <w:vAlign w:val="center"/>
          </w:tcPr>
          <w:p>
            <w:r>
              <w:t>Exception rate target</w:t>
            </w:r>
          </w:p>
        </w:tc>
        <w:tc>
          <w:tcPr>
            <w:tcW w:type="dxa" w:w="3168"/>
            <w:vAlign w:val="center"/>
          </w:tcPr>
          <w:p>
            <w:r>
              <w:t>Below 3%</w:t>
            </w:r>
          </w:p>
        </w:tc>
        <w:tc>
          <w:tcPr>
            <w:tcW w:type="dxa" w:w="4320"/>
            <w:vAlign w:val="center"/>
          </w:tcPr>
          <w:p>
            <w:r>
              <w:t>Flags malformed or unprocessable inputs.</w:t>
            </w:r>
          </w:p>
        </w:tc>
      </w:tr>
      <w:tr>
        <w:tc>
          <w:tcPr>
            <w:tcW w:type="dxa" w:w="2592"/>
            <w:vAlign w:val="center"/>
          </w:tcPr>
          <w:p>
            <w:r>
              <w:t>Human-review policy</w:t>
            </w:r>
          </w:p>
        </w:tc>
        <w:tc>
          <w:tcPr>
            <w:tcW w:type="dxa" w:w="3168"/>
            <w:vAlign w:val="center"/>
          </w:tcPr>
          <w:p>
            <w:r>
              <w:t>All low-confidence and high-priority tickets</w:t>
            </w:r>
          </w:p>
        </w:tc>
        <w:tc>
          <w:tcPr>
            <w:tcW w:type="dxa" w:w="4320"/>
            <w:vAlign w:val="center"/>
          </w:tcPr>
          <w:p>
            <w:r>
              <w:t>Reduces risk from uncertain or urgent predictions.</w:t>
            </w:r>
          </w:p>
        </w:tc>
      </w:tr>
      <w:tr>
        <w:tc>
          <w:tcPr>
            <w:tcW w:type="dxa" w:w="2592"/>
            <w:vAlign w:val="center"/>
          </w:tcPr>
          <w:p>
            <w:r>
              <w:t>Privacy rule</w:t>
            </w:r>
          </w:p>
        </w:tc>
        <w:tc>
          <w:tcPr>
            <w:tcW w:type="dxa" w:w="3168"/>
            <w:vAlign w:val="center"/>
          </w:tcPr>
          <w:p>
            <w:r>
              <w:t>Synthetic data only</w:t>
            </w:r>
          </w:p>
        </w:tc>
        <w:tc>
          <w:tcPr>
            <w:tcW w:type="dxa" w:w="4320"/>
            <w:vAlign w:val="center"/>
          </w:tcPr>
          <w:p>
            <w:r>
              <w:t>Avoids exposing customer information.</w:t>
            </w:r>
          </w:p>
        </w:tc>
      </w:tr>
    </w:tbl>
    <w:p/>
    <w:p>
      <w:pPr>
        <w:pStyle w:val="Heading1"/>
      </w:pPr>
      <w:r>
        <w:t>6. Step-by-Step Execution Plan</w:t>
      </w:r>
    </w:p>
    <w:p>
      <w:pPr>
        <w:pStyle w:val="ListNumber"/>
      </w:pPr>
      <w:r>
        <w:rPr>
          <w:b/>
        </w:rPr>
        <w:t xml:space="preserve">Step 1 – Confirm objectives and acceptance criteria. </w:t>
      </w:r>
      <w:r>
        <w:t>Record the simulation goal, the four ticket categories, the confidence threshold, and the target metrics. Confirm that results will be labelled as simulated.</w:t>
      </w:r>
    </w:p>
    <w:p>
      <w:pPr>
        <w:pStyle w:val="ListNumber"/>
      </w:pPr>
      <w:r>
        <w:rPr>
          <w:b/>
        </w:rPr>
        <w:t xml:space="preserve">Step 2 – Prepare synthetic data. </w:t>
      </w:r>
      <w:r>
        <w:t>Create 1,000 fictional tickets with a ticket ID, text, expected category, expected priority, and a few edge cases. Remove any real personal information because none is required.</w:t>
      </w:r>
    </w:p>
    <w:p>
      <w:pPr>
        <w:pStyle w:val="ListNumber"/>
      </w:pPr>
      <w:r>
        <w:rPr>
          <w:b/>
        </w:rPr>
        <w:t xml:space="preserve">Step 3 – Validate inputs. </w:t>
      </w:r>
      <w:r>
        <w:t>Check that each record has a unique ID, non-empty text, and a valid expected label. Move malformed records to an exception list rather than silently dropping them.</w:t>
      </w:r>
    </w:p>
    <w:p>
      <w:pPr>
        <w:pStyle w:val="ListNumber"/>
      </w:pPr>
      <w:r>
        <w:rPr>
          <w:b/>
        </w:rPr>
        <w:t xml:space="preserve">Step 4 – Configure the AI workflow. </w:t>
      </w:r>
      <w:r>
        <w:t>Set the classifier or mock predictor, category mapping, confidence threshold of 0.75, priority rules, and routing conditions. Log model/workflow version and configuration.</w:t>
      </w:r>
    </w:p>
    <w:p>
      <w:pPr>
        <w:pStyle w:val="ListNumber"/>
      </w:pPr>
      <w:r>
        <w:rPr>
          <w:b/>
        </w:rPr>
        <w:t xml:space="preserve">Step 5 – Run a small pilot. </w:t>
      </w:r>
      <w:r>
        <w:t>Process 50 records first. Review category mapping, routing, and log output. Fix configuration errors before running the full batch.</w:t>
      </w:r>
    </w:p>
    <w:p>
      <w:pPr>
        <w:pStyle w:val="ListNumber"/>
      </w:pPr>
      <w:r>
        <w:rPr>
          <w:b/>
        </w:rPr>
        <w:t xml:space="preserve">Step 6 – Execute the full simulation. </w:t>
      </w:r>
      <w:r>
        <w:t>Process the remaining 950 records. Record prediction, confidence, processing time, routing destination, and any exception for each ticket.</w:t>
      </w:r>
    </w:p>
    <w:p>
      <w:pPr>
        <w:pStyle w:val="ListNumber"/>
      </w:pPr>
      <w:r>
        <w:rPr>
          <w:b/>
        </w:rPr>
        <w:t xml:space="preserve">Step 7 – Monitor live-style operational signals. </w:t>
      </w:r>
      <w:r>
        <w:t>Track processed volume, failure rate, processing time, low-confidence rate, predicted category distribution, and human-review queue size.</w:t>
      </w:r>
    </w:p>
    <w:p>
      <w:pPr>
        <w:pStyle w:val="ListNumber"/>
      </w:pPr>
      <w:r>
        <w:rPr>
          <w:b/>
        </w:rPr>
        <w:t xml:space="preserve">Step 8 – Handle exceptions. </w:t>
      </w:r>
      <w:r>
        <w:t>Retry temporary failures once; quarantine invalid records; route urgent or uncertain tickets to a human reviewer; do not repeatedly retry permanent input errors.</w:t>
      </w:r>
    </w:p>
    <w:p>
      <w:pPr>
        <w:pStyle w:val="ListNumber"/>
      </w:pPr>
      <w:r>
        <w:rPr>
          <w:b/>
        </w:rPr>
        <w:t xml:space="preserve">Step 9 – Evaluate results. </w:t>
      </w:r>
      <w:r>
        <w:t>Compare predictions with the synthetic expected labels, calculate accuracy and exception rates, and review representative misclassifications.</w:t>
      </w:r>
    </w:p>
    <w:p>
      <w:pPr>
        <w:pStyle w:val="ListNumber"/>
      </w:pPr>
      <w:r>
        <w:rPr>
          <w:b/>
        </w:rPr>
        <w:t xml:space="preserve">Step 10 – Close and document. </w:t>
      </w:r>
      <w:r>
        <w:t>Summarize outcomes, note limitations, list decisions and follow-up actions, and preserve the configuration and run log for reproducibility.</w:t>
      </w:r>
    </w:p>
    <w:p>
      <w:pPr>
        <w:pStyle w:val="Heading1"/>
      </w:pPr>
      <w:r>
        <w:t>7. Operational Timetable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800"/>
            <w:shd w:fill="D9EAF7"/>
            <w:vAlign w:val="center"/>
          </w:tcPr>
          <w:p>
            <w:r>
              <w:rPr>
                <w:b/>
              </w:rPr>
              <w:t>Phase</w:t>
            </w:r>
          </w:p>
        </w:tc>
        <w:tc>
          <w:tcPr>
            <w:tcW w:type="dxa" w:w="1440"/>
            <w:shd w:fill="D9EAF7"/>
            <w:vAlign w:val="center"/>
          </w:tcPr>
          <w:p>
            <w:r>
              <w:rPr>
                <w:b/>
              </w:rPr>
              <w:t>Duration</w:t>
            </w:r>
          </w:p>
        </w:tc>
        <w:tc>
          <w:tcPr>
            <w:tcW w:type="dxa" w:w="4320"/>
            <w:shd w:fill="D9EAF7"/>
            <w:vAlign w:val="center"/>
          </w:tcPr>
          <w:p>
            <w:r>
              <w:rPr>
                <w:b/>
              </w:rPr>
              <w:t>Planned activity</w:t>
            </w:r>
          </w:p>
        </w:tc>
        <w:tc>
          <w:tcPr>
            <w:tcW w:type="dxa" w:w="2520"/>
            <w:shd w:fill="D9EAF7"/>
            <w:vAlign w:val="center"/>
          </w:tcPr>
          <w:p>
            <w:r>
              <w:rPr>
                <w:b/>
              </w:rPr>
              <w:t>Output</w:t>
            </w:r>
          </w:p>
        </w:tc>
      </w:tr>
      <w:tr>
        <w:tc>
          <w:tcPr>
            <w:tcW w:type="dxa" w:w="1800"/>
            <w:vAlign w:val="center"/>
          </w:tcPr>
          <w:p>
            <w:r>
              <w:t>Preparation</w:t>
            </w:r>
          </w:p>
        </w:tc>
        <w:tc>
          <w:tcPr>
            <w:tcW w:type="dxa" w:w="1440"/>
            <w:vAlign w:val="center"/>
          </w:tcPr>
          <w:p>
            <w:r>
              <w:t>30 minutes</w:t>
            </w:r>
          </w:p>
        </w:tc>
        <w:tc>
          <w:tcPr>
            <w:tcW w:type="dxa" w:w="4320"/>
            <w:vAlign w:val="center"/>
          </w:tcPr>
          <w:p>
            <w:r>
              <w:t>Confirm goals, categories, resources, and safeguards.</w:t>
            </w:r>
          </w:p>
        </w:tc>
        <w:tc>
          <w:tcPr>
            <w:tcW w:type="dxa" w:w="2520"/>
            <w:vAlign w:val="center"/>
          </w:tcPr>
          <w:p>
            <w:r>
              <w:t>Approved simulation plan</w:t>
            </w:r>
          </w:p>
        </w:tc>
      </w:tr>
      <w:tr>
        <w:tc>
          <w:tcPr>
            <w:tcW w:type="dxa" w:w="1800"/>
            <w:vAlign w:val="center"/>
          </w:tcPr>
          <w:p>
            <w:r>
              <w:t>Data setup</w:t>
            </w:r>
          </w:p>
        </w:tc>
        <w:tc>
          <w:tcPr>
            <w:tcW w:type="dxa" w:w="1440"/>
            <w:vAlign w:val="center"/>
          </w:tcPr>
          <w:p>
            <w:r>
              <w:t>45 minutes</w:t>
            </w:r>
          </w:p>
        </w:tc>
        <w:tc>
          <w:tcPr>
            <w:tcW w:type="dxa" w:w="4320"/>
            <w:vAlign w:val="center"/>
          </w:tcPr>
          <w:p>
            <w:r>
              <w:t>Generate and validate synthetic records.</w:t>
            </w:r>
          </w:p>
        </w:tc>
        <w:tc>
          <w:tcPr>
            <w:tcW w:type="dxa" w:w="2520"/>
            <w:vAlign w:val="center"/>
          </w:tcPr>
          <w:p>
            <w:r>
              <w:t>Validated dataset and exception list</w:t>
            </w:r>
          </w:p>
        </w:tc>
      </w:tr>
      <w:tr>
        <w:tc>
          <w:tcPr>
            <w:tcW w:type="dxa" w:w="1800"/>
            <w:vAlign w:val="center"/>
          </w:tcPr>
          <w:p>
            <w:r>
              <w:t>Configuration</w:t>
            </w:r>
          </w:p>
        </w:tc>
        <w:tc>
          <w:tcPr>
            <w:tcW w:type="dxa" w:w="1440"/>
            <w:vAlign w:val="center"/>
          </w:tcPr>
          <w:p>
            <w:r>
              <w:t>45 minutes</w:t>
            </w:r>
          </w:p>
        </w:tc>
        <w:tc>
          <w:tcPr>
            <w:tcW w:type="dxa" w:w="4320"/>
            <w:vAlign w:val="center"/>
          </w:tcPr>
          <w:p>
            <w:r>
              <w:t>Set thresholds, routing rules, and logging.</w:t>
            </w:r>
          </w:p>
        </w:tc>
        <w:tc>
          <w:tcPr>
            <w:tcW w:type="dxa" w:w="2520"/>
            <w:vAlign w:val="center"/>
          </w:tcPr>
          <w:p>
            <w:r>
              <w:t>Configuration checklist</w:t>
            </w:r>
          </w:p>
        </w:tc>
      </w:tr>
      <w:tr>
        <w:tc>
          <w:tcPr>
            <w:tcW w:type="dxa" w:w="1800"/>
            <w:vAlign w:val="center"/>
          </w:tcPr>
          <w:p>
            <w:r>
              <w:t>Pilot run</w:t>
            </w:r>
          </w:p>
        </w:tc>
        <w:tc>
          <w:tcPr>
            <w:tcW w:type="dxa" w:w="1440"/>
            <w:vAlign w:val="center"/>
          </w:tcPr>
          <w:p>
            <w:r>
              <w:t>20 minutes</w:t>
            </w:r>
          </w:p>
        </w:tc>
        <w:tc>
          <w:tcPr>
            <w:tcW w:type="dxa" w:w="4320"/>
            <w:vAlign w:val="center"/>
          </w:tcPr>
          <w:p>
            <w:r>
              <w:t>Process 50 records and inspect errors.</w:t>
            </w:r>
          </w:p>
        </w:tc>
        <w:tc>
          <w:tcPr>
            <w:tcW w:type="dxa" w:w="2520"/>
            <w:vAlign w:val="center"/>
          </w:tcPr>
          <w:p>
            <w:r>
              <w:t>Pilot notes and fixes</w:t>
            </w:r>
          </w:p>
        </w:tc>
      </w:tr>
      <w:tr>
        <w:tc>
          <w:tcPr>
            <w:tcW w:type="dxa" w:w="1800"/>
            <w:vAlign w:val="center"/>
          </w:tcPr>
          <w:p>
            <w:r>
              <w:t>Full execution</w:t>
            </w:r>
          </w:p>
        </w:tc>
        <w:tc>
          <w:tcPr>
            <w:tcW w:type="dxa" w:w="1440"/>
            <w:vAlign w:val="center"/>
          </w:tcPr>
          <w:p>
            <w:r>
              <w:t>60 minutes</w:t>
            </w:r>
          </w:p>
        </w:tc>
        <w:tc>
          <w:tcPr>
            <w:tcW w:type="dxa" w:w="4320"/>
            <w:vAlign w:val="center"/>
          </w:tcPr>
          <w:p>
            <w:r>
              <w:t>Process the remaining records and monitor metrics.</w:t>
            </w:r>
          </w:p>
        </w:tc>
        <w:tc>
          <w:tcPr>
            <w:tcW w:type="dxa" w:w="2520"/>
            <w:vAlign w:val="center"/>
          </w:tcPr>
          <w:p>
            <w:r>
              <w:t>Run log and dashboard values</w:t>
            </w:r>
          </w:p>
        </w:tc>
      </w:tr>
      <w:tr>
        <w:tc>
          <w:tcPr>
            <w:tcW w:type="dxa" w:w="1800"/>
            <w:vAlign w:val="center"/>
          </w:tcPr>
          <w:p>
            <w:r>
              <w:t>Evaluation</w:t>
            </w:r>
          </w:p>
        </w:tc>
        <w:tc>
          <w:tcPr>
            <w:tcW w:type="dxa" w:w="1440"/>
            <w:vAlign w:val="center"/>
          </w:tcPr>
          <w:p>
            <w:r>
              <w:t>45 minutes</w:t>
            </w:r>
          </w:p>
        </w:tc>
        <w:tc>
          <w:tcPr>
            <w:tcW w:type="dxa" w:w="4320"/>
            <w:vAlign w:val="center"/>
          </w:tcPr>
          <w:p>
            <w:r>
              <w:t>Calculate metrics and investigate errors.</w:t>
            </w:r>
          </w:p>
        </w:tc>
        <w:tc>
          <w:tcPr>
            <w:tcW w:type="dxa" w:w="2520"/>
            <w:vAlign w:val="center"/>
          </w:tcPr>
          <w:p>
            <w:r>
              <w:t>Outcome analysis</w:t>
            </w:r>
          </w:p>
        </w:tc>
      </w:tr>
      <w:tr>
        <w:tc>
          <w:tcPr>
            <w:tcW w:type="dxa" w:w="1800"/>
            <w:vAlign w:val="center"/>
          </w:tcPr>
          <w:p>
            <w:r>
              <w:t>Reporting</w:t>
            </w:r>
          </w:p>
        </w:tc>
        <w:tc>
          <w:tcPr>
            <w:tcW w:type="dxa" w:w="1440"/>
            <w:vAlign w:val="center"/>
          </w:tcPr>
          <w:p>
            <w:r>
              <w:t>45 minutes</w:t>
            </w:r>
          </w:p>
        </w:tc>
        <w:tc>
          <w:tcPr>
            <w:tcW w:type="dxa" w:w="4320"/>
            <w:vAlign w:val="center"/>
          </w:tcPr>
          <w:p>
            <w:r>
              <w:t>Document lessons and improvement actions.</w:t>
            </w:r>
          </w:p>
        </w:tc>
        <w:tc>
          <w:tcPr>
            <w:tcW w:type="dxa" w:w="2520"/>
            <w:vAlign w:val="center"/>
          </w:tcPr>
          <w:p>
            <w:r>
              <w:t>Final report</w:t>
            </w:r>
          </w:p>
        </w:tc>
      </w:tr>
    </w:tbl>
    <w:p/>
    <w:p>
      <w:pPr>
        <w:pStyle w:val="Heading1"/>
      </w:pPr>
      <w:r>
        <w:t>8. Simulation Workflow Diagram</w:t>
      </w:r>
    </w:p>
    <w:p>
      <w:r>
        <w:drawing>
          <wp:inline xmlns:a="http://schemas.openxmlformats.org/drawingml/2006/main" xmlns:pic="http://schemas.openxmlformats.org/drawingml/2006/picture">
            <wp:extent cx="6217920" cy="1426856"/>
            <wp:docPr id="1" name="Picture 1"/>
            <wp:cNvGraphicFramePr>
              <a:graphicFrameLocks noChangeAspect="1"/>
            </wp:cNvGraphicFramePr>
            <a:graphic>
              <a:graphicData uri="http://schemas.openxmlformats.org/drawingml/2006/picture">
                <pic:pic>
                  <pic:nvPicPr>
                    <pic:cNvPr id="0" name="ai_operations_simulation_workflow.png"/>
                    <pic:cNvPicPr/>
                  </pic:nvPicPr>
                  <pic:blipFill>
                    <a:blip r:embed="rId9"/>
                    <a:stretch>
                      <a:fillRect/>
                    </a:stretch>
                  </pic:blipFill>
                  <pic:spPr>
                    <a:xfrm>
                      <a:off x="0" y="0"/>
                      <a:ext cx="6217920" cy="1426856"/>
                    </a:xfrm>
                    <a:prstGeom prst="rect"/>
                  </pic:spPr>
                </pic:pic>
              </a:graphicData>
            </a:graphic>
          </wp:inline>
        </w:drawing>
      </w:r>
    </w:p>
    <w:p>
      <w:pPr>
        <w:jc w:val="center"/>
      </w:pPr>
      <w:r>
        <w:rPr>
          <w:i/>
        </w:rPr>
        <w:t>Figure 1. High-level workflow from scenario definition to review and continuous improvement.</w:t>
      </w:r>
    </w:p>
    <w:p>
      <w:pPr>
        <w:pStyle w:val="Heading1"/>
      </w:pPr>
      <w:r>
        <w:t>9. Execution Log and Decision-Making</w:t>
      </w:r>
    </w:p>
    <w:tbl>
      <w:tblPr>
        <w:tblStyle w:val="TableGrid"/>
        <w:tblW w:type="auto" w:w="0"/>
        <w:jc w:val="center"/>
        <w:tblLook w:firstColumn="1" w:firstRow="1" w:lastColumn="0" w:lastRow="0" w:noHBand="0" w:noVBand="1" w:val="04A0"/>
      </w:tblPr>
      <w:tblGrid>
        <w:gridCol w:w="3312"/>
        <w:gridCol w:w="3312"/>
        <w:gridCol w:w="3312"/>
      </w:tblGrid>
      <w:tr>
        <w:tc>
          <w:tcPr>
            <w:tcW w:type="dxa" w:w="3024"/>
            <w:shd w:fill="D9EAF7"/>
            <w:vAlign w:val="center"/>
          </w:tcPr>
          <w:p>
            <w:r>
              <w:rPr>
                <w:b/>
              </w:rPr>
              <w:t>Event / observation</w:t>
            </w:r>
          </w:p>
        </w:tc>
        <w:tc>
          <w:tcPr>
            <w:tcW w:type="dxa" w:w="3168"/>
            <w:shd w:fill="D9EAF7"/>
            <w:vAlign w:val="center"/>
          </w:tcPr>
          <w:p>
            <w:r>
              <w:rPr>
                <w:b/>
              </w:rPr>
              <w:t>Decision taken</w:t>
            </w:r>
          </w:p>
        </w:tc>
        <w:tc>
          <w:tcPr>
            <w:tcW w:type="dxa" w:w="3888"/>
            <w:shd w:fill="D9EAF7"/>
            <w:vAlign w:val="center"/>
          </w:tcPr>
          <w:p>
            <w:r>
              <w:rPr>
                <w:b/>
              </w:rPr>
              <w:t>Reason / operational control</w:t>
            </w:r>
          </w:p>
        </w:tc>
      </w:tr>
      <w:tr>
        <w:tc>
          <w:tcPr>
            <w:tcW w:type="dxa" w:w="3024"/>
            <w:vAlign w:val="center"/>
          </w:tcPr>
          <w:p>
            <w:r>
              <w:t>Pilot records included empty ticket text.</w:t>
            </w:r>
          </w:p>
        </w:tc>
        <w:tc>
          <w:tcPr>
            <w:tcW w:type="dxa" w:w="3168"/>
            <w:vAlign w:val="center"/>
          </w:tcPr>
          <w:p>
            <w:r>
              <w:t>Invalid records were moved to an exception queue.</w:t>
            </w:r>
          </w:p>
        </w:tc>
        <w:tc>
          <w:tcPr>
            <w:tcW w:type="dxa" w:w="3888"/>
            <w:vAlign w:val="center"/>
          </w:tcPr>
          <w:p>
            <w:r>
              <w:t>Prevents unreliable predictions and preserves an audit trail.</w:t>
            </w:r>
          </w:p>
        </w:tc>
      </w:tr>
      <w:tr>
        <w:tc>
          <w:tcPr>
            <w:tcW w:type="dxa" w:w="3024"/>
            <w:vAlign w:val="center"/>
          </w:tcPr>
          <w:p>
            <w:r>
              <w:t>Some ticket wording was ambiguous.</w:t>
            </w:r>
          </w:p>
        </w:tc>
        <w:tc>
          <w:tcPr>
            <w:tcW w:type="dxa" w:w="3168"/>
            <w:vAlign w:val="center"/>
          </w:tcPr>
          <w:p>
            <w:r>
              <w:t>Low-confidence predictions were routed to a human reviewer.</w:t>
            </w:r>
          </w:p>
        </w:tc>
        <w:tc>
          <w:tcPr>
            <w:tcW w:type="dxa" w:w="3888"/>
            <w:vAlign w:val="center"/>
          </w:tcPr>
          <w:p>
            <w:r>
              <w:t>Avoids treating uncertain AI output as a confirmed decision.</w:t>
            </w:r>
          </w:p>
        </w:tc>
      </w:tr>
      <w:tr>
        <w:tc>
          <w:tcPr>
            <w:tcW w:type="dxa" w:w="3024"/>
            <w:vAlign w:val="center"/>
          </w:tcPr>
          <w:p>
            <w:r>
              <w:t>A simulated urgent account-lockout ticket was predicted as Medium priority.</w:t>
            </w:r>
          </w:p>
        </w:tc>
        <w:tc>
          <w:tcPr>
            <w:tcW w:type="dxa" w:w="3168"/>
            <w:vAlign w:val="center"/>
          </w:tcPr>
          <w:p>
            <w:r>
              <w:t>The priority rule escalated the ticket for human review.</w:t>
            </w:r>
          </w:p>
        </w:tc>
        <w:tc>
          <w:tcPr>
            <w:tcW w:type="dxa" w:w="3888"/>
            <w:vAlign w:val="center"/>
          </w:tcPr>
          <w:p>
            <w:r>
              <w:t>Urgent cases should not depend only on the predicted category.</w:t>
            </w:r>
          </w:p>
        </w:tc>
      </w:tr>
      <w:tr>
        <w:tc>
          <w:tcPr>
            <w:tcW w:type="dxa" w:w="3024"/>
            <w:vAlign w:val="center"/>
          </w:tcPr>
          <w:p>
            <w:r>
              <w:t>A temporary simulated processing timeout occurred.</w:t>
            </w:r>
          </w:p>
        </w:tc>
        <w:tc>
          <w:tcPr>
            <w:tcW w:type="dxa" w:w="3168"/>
            <w:vAlign w:val="center"/>
          </w:tcPr>
          <w:p>
            <w:r>
              <w:t>The record was retried once, then flagged if still unsuccessful.</w:t>
            </w:r>
          </w:p>
        </w:tc>
        <w:tc>
          <w:tcPr>
            <w:tcW w:type="dxa" w:w="3888"/>
            <w:vAlign w:val="center"/>
          </w:tcPr>
          <w:p>
            <w:r>
              <w:t>Limits duplicate work and prevents endless retry loops.</w:t>
            </w:r>
          </w:p>
        </w:tc>
      </w:tr>
      <w:tr>
        <w:tc>
          <w:tcPr>
            <w:tcW w:type="dxa" w:w="3024"/>
            <w:vAlign w:val="center"/>
          </w:tcPr>
          <w:p>
            <w:r>
              <w:t>Predictions showed an unusually high share of one category.</w:t>
            </w:r>
          </w:p>
        </w:tc>
        <w:tc>
          <w:tcPr>
            <w:tcW w:type="dxa" w:w="3168"/>
            <w:vAlign w:val="center"/>
          </w:tcPr>
          <w:p>
            <w:r>
              <w:t>The analyst checked input distribution and category mapping.</w:t>
            </w:r>
          </w:p>
        </w:tc>
        <w:tc>
          <w:tcPr>
            <w:tcW w:type="dxa" w:w="3888"/>
            <w:vAlign w:val="center"/>
          </w:tcPr>
          <w:p>
            <w:r>
              <w:t>May indicate data drift, a mapping issue, or an imbalanced test set.</w:t>
            </w:r>
          </w:p>
        </w:tc>
      </w:tr>
    </w:tbl>
    <w:p/>
    <w:p>
      <w:pPr>
        <w:pStyle w:val="Heading1"/>
      </w:pPr>
      <w:r>
        <w:t>10. Simulated Findings</w:t>
      </w:r>
    </w:p>
    <w:p>
      <w:r>
        <w:t>The following values are an illustrative results set designed to show how an analyst should report a run. Replace them with actual measurements if you execute the simulation in Python or another environment.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880"/>
            <w:shd w:fill="D9EAF7"/>
            <w:vAlign w:val="center"/>
          </w:tcPr>
          <w:p>
            <w:r>
              <w:rPr>
                <w:b/>
              </w:rPr>
              <w:t>Metric</w:t>
            </w:r>
          </w:p>
        </w:tc>
        <w:tc>
          <w:tcPr>
            <w:tcW w:type="dxa" w:w="2160"/>
            <w:shd w:fill="D9EAF7"/>
            <w:vAlign w:val="center"/>
          </w:tcPr>
          <w:p>
            <w:r>
              <w:rPr>
                <w:b/>
              </w:rPr>
              <w:t>Illustrative result</w:t>
            </w:r>
          </w:p>
        </w:tc>
        <w:tc>
          <w:tcPr>
            <w:tcW w:type="dxa" w:w="2160"/>
            <w:shd w:fill="D9EAF7"/>
            <w:vAlign w:val="center"/>
          </w:tcPr>
          <w:p>
            <w:r>
              <w:rPr>
                <w:b/>
              </w:rPr>
              <w:t>Target</w:t>
            </w:r>
          </w:p>
        </w:tc>
        <w:tc>
          <w:tcPr>
            <w:tcW w:type="dxa" w:w="2880"/>
            <w:shd w:fill="D9EAF7"/>
            <w:vAlign w:val="center"/>
          </w:tcPr>
          <w:p>
            <w:r>
              <w:rPr>
                <w:b/>
              </w:rPr>
              <w:t>Interpretation</w:t>
            </w:r>
          </w:p>
        </w:tc>
      </w:tr>
      <w:tr>
        <w:tc>
          <w:tcPr>
            <w:tcW w:type="dxa" w:w="2880"/>
            <w:vAlign w:val="center"/>
          </w:tcPr>
          <w:p>
            <w:r>
              <w:t>Tickets submitted</w:t>
            </w:r>
          </w:p>
        </w:tc>
        <w:tc>
          <w:tcPr>
            <w:tcW w:type="dxa" w:w="2160"/>
            <w:vAlign w:val="center"/>
          </w:tcPr>
          <w:p>
            <w:r>
              <w:t>1,000</w:t>
            </w:r>
          </w:p>
        </w:tc>
        <w:tc>
          <w:tcPr>
            <w:tcW w:type="dxa" w:w="2160"/>
            <w:vAlign w:val="center"/>
          </w:tcPr>
          <w:p>
            <w:r>
              <w:t>1,000</w:t>
            </w:r>
          </w:p>
        </w:tc>
        <w:tc>
          <w:tcPr>
            <w:tcW w:type="dxa" w:w="2880"/>
            <w:vAlign w:val="center"/>
          </w:tcPr>
          <w:p>
            <w:r>
              <w:t>The planned batch was represented.</w:t>
            </w:r>
          </w:p>
        </w:tc>
      </w:tr>
      <w:tr>
        <w:tc>
          <w:tcPr>
            <w:tcW w:type="dxa" w:w="2880"/>
            <w:vAlign w:val="center"/>
          </w:tcPr>
          <w:p>
            <w:r>
              <w:t>Successfully processed</w:t>
            </w:r>
          </w:p>
        </w:tc>
        <w:tc>
          <w:tcPr>
            <w:tcW w:type="dxa" w:w="2160"/>
            <w:vAlign w:val="center"/>
          </w:tcPr>
          <w:p>
            <w:r>
              <w:t>972 (97.2%)</w:t>
            </w:r>
          </w:p>
        </w:tc>
        <w:tc>
          <w:tcPr>
            <w:tcW w:type="dxa" w:w="2160"/>
            <w:vAlign w:val="center"/>
          </w:tcPr>
          <w:p>
            <w:r>
              <w:t>At least 97%</w:t>
            </w:r>
          </w:p>
        </w:tc>
        <w:tc>
          <w:tcPr>
            <w:tcW w:type="dxa" w:w="2880"/>
            <w:vAlign w:val="center"/>
          </w:tcPr>
          <w:p>
            <w:r>
              <w:t>Most records completed the workflow.</w:t>
            </w:r>
          </w:p>
        </w:tc>
      </w:tr>
      <w:tr>
        <w:tc>
          <w:tcPr>
            <w:tcW w:type="dxa" w:w="2880"/>
            <w:vAlign w:val="center"/>
          </w:tcPr>
          <w:p>
            <w:r>
              <w:t>Exceptions</w:t>
            </w:r>
          </w:p>
        </w:tc>
        <w:tc>
          <w:tcPr>
            <w:tcW w:type="dxa" w:w="2160"/>
            <w:vAlign w:val="center"/>
          </w:tcPr>
          <w:p>
            <w:r>
              <w:t>28 (2.8%)</w:t>
            </w:r>
          </w:p>
        </w:tc>
        <w:tc>
          <w:tcPr>
            <w:tcW w:type="dxa" w:w="2160"/>
            <w:vAlign w:val="center"/>
          </w:tcPr>
          <w:p>
            <w:r>
              <w:t>Below 3%</w:t>
            </w:r>
          </w:p>
        </w:tc>
        <w:tc>
          <w:tcPr>
            <w:tcW w:type="dxa" w:w="2880"/>
            <w:vAlign w:val="center"/>
          </w:tcPr>
          <w:p>
            <w:r>
              <w:t>Within the illustrative exception threshold.</w:t>
            </w:r>
          </w:p>
        </w:tc>
      </w:tr>
      <w:tr>
        <w:tc>
          <w:tcPr>
            <w:tcW w:type="dxa" w:w="2880"/>
            <w:vAlign w:val="center"/>
          </w:tcPr>
          <w:p>
            <w:r>
              <w:t>Category accuracy on labelled records</w:t>
            </w:r>
          </w:p>
        </w:tc>
        <w:tc>
          <w:tcPr>
            <w:tcW w:type="dxa" w:w="2160"/>
            <w:vAlign w:val="center"/>
          </w:tcPr>
          <w:p>
            <w:r>
              <w:t>91.5%</w:t>
            </w:r>
          </w:p>
        </w:tc>
        <w:tc>
          <w:tcPr>
            <w:tcW w:type="dxa" w:w="2160"/>
            <w:vAlign w:val="center"/>
          </w:tcPr>
          <w:p>
            <w:r>
              <w:t>At least 90%</w:t>
            </w:r>
          </w:p>
        </w:tc>
        <w:tc>
          <w:tcPr>
            <w:tcW w:type="dxa" w:w="2880"/>
            <w:vAlign w:val="center"/>
          </w:tcPr>
          <w:p>
            <w:r>
              <w:t>Meets the illustrative target; errors still need review.</w:t>
            </w:r>
          </w:p>
        </w:tc>
      </w:tr>
      <w:tr>
        <w:tc>
          <w:tcPr>
            <w:tcW w:type="dxa" w:w="2880"/>
            <w:vAlign w:val="center"/>
          </w:tcPr>
          <w:p>
            <w:r>
              <w:t>Median processing time</w:t>
            </w:r>
          </w:p>
        </w:tc>
        <w:tc>
          <w:tcPr>
            <w:tcW w:type="dxa" w:w="2160"/>
            <w:vAlign w:val="center"/>
          </w:tcPr>
          <w:p>
            <w:r>
              <w:t>1.4 seconds</w:t>
            </w:r>
          </w:p>
        </w:tc>
        <w:tc>
          <w:tcPr>
            <w:tcW w:type="dxa" w:w="2160"/>
            <w:vAlign w:val="center"/>
          </w:tcPr>
          <w:p>
            <w:r>
              <w:t>Below 2 seconds</w:t>
            </w:r>
          </w:p>
        </w:tc>
        <w:tc>
          <w:tcPr>
            <w:tcW w:type="dxa" w:w="2880"/>
            <w:vAlign w:val="center"/>
          </w:tcPr>
          <w:p>
            <w:r>
              <w:t>Meets the illustrative responsiveness target.</w:t>
            </w:r>
          </w:p>
        </w:tc>
      </w:tr>
      <w:tr>
        <w:tc>
          <w:tcPr>
            <w:tcW w:type="dxa" w:w="2880"/>
            <w:vAlign w:val="center"/>
          </w:tcPr>
          <w:p>
            <w:r>
              <w:t>Sent for human review</w:t>
            </w:r>
          </w:p>
        </w:tc>
        <w:tc>
          <w:tcPr>
            <w:tcW w:type="dxa" w:w="2160"/>
            <w:vAlign w:val="center"/>
          </w:tcPr>
          <w:p>
            <w:r>
              <w:t>180 (18%)</w:t>
            </w:r>
          </w:p>
        </w:tc>
        <w:tc>
          <w:tcPr>
            <w:tcW w:type="dxa" w:w="2160"/>
            <w:vAlign w:val="center"/>
          </w:tcPr>
          <w:p>
            <w:r>
              <w:t>Monitor; no fixed target</w:t>
            </w:r>
          </w:p>
        </w:tc>
        <w:tc>
          <w:tcPr>
            <w:tcW w:type="dxa" w:w="2880"/>
            <w:vAlign w:val="center"/>
          </w:tcPr>
          <w:p>
            <w:r>
              <w:t>Review load is a trade-off for safer handling of uncertain cases.</w:t>
            </w:r>
          </w:p>
        </w:tc>
      </w:tr>
      <w:tr>
        <w:tc>
          <w:tcPr>
            <w:tcW w:type="dxa" w:w="2880"/>
            <w:vAlign w:val="center"/>
          </w:tcPr>
          <w:p>
            <w:r>
              <w:t>High-priority tickets escalated</w:t>
            </w:r>
          </w:p>
        </w:tc>
        <w:tc>
          <w:tcPr>
            <w:tcW w:type="dxa" w:w="2160"/>
            <w:vAlign w:val="center"/>
          </w:tcPr>
          <w:p>
            <w:r>
              <w:t>All flagged cases</w:t>
            </w:r>
          </w:p>
        </w:tc>
        <w:tc>
          <w:tcPr>
            <w:tcW w:type="dxa" w:w="2160"/>
            <w:vAlign w:val="center"/>
          </w:tcPr>
          <w:p>
            <w:r>
              <w:t>100% of detected high-priority cases</w:t>
            </w:r>
          </w:p>
        </w:tc>
        <w:tc>
          <w:tcPr>
            <w:tcW w:type="dxa" w:w="2880"/>
            <w:vAlign w:val="center"/>
          </w:tcPr>
          <w:p>
            <w:r>
              <w:t>Escalation rule worked in this designed example.</w:t>
            </w:r>
          </w:p>
        </w:tc>
      </w:tr>
    </w:tbl>
    <w:p/>
    <w:p>
      <w:r>
        <w:t>Interpretation: In this example, the workflow meets the illustrative accuracy, latency, and exception-rate targets. The 18% human-review rate may increase workload, but it is not automatically a failure: it should be balanced against the cost of incorrect routing. The simulation does not prove that a real system would achieve these results.</w:t>
      </w:r>
    </w:p>
    <w:p>
      <w:pPr>
        <w:pStyle w:val="Heading1"/>
      </w:pPr>
      <w:r>
        <w:t>11. Challenges and Mitigation Strategies</w:t>
      </w:r>
    </w:p>
    <w:tbl>
      <w:tblPr>
        <w:tblStyle w:val="TableGrid"/>
        <w:tblW w:type="auto" w:w="0"/>
        <w:jc w:val="center"/>
        <w:tblLook w:firstColumn="1" w:firstRow="1" w:lastColumn="0" w:lastRow="0" w:noHBand="0" w:noVBand="1" w:val="04A0"/>
      </w:tblPr>
      <w:tblGrid>
        <w:gridCol w:w="3312"/>
        <w:gridCol w:w="3312"/>
        <w:gridCol w:w="3312"/>
      </w:tblGrid>
      <w:tr>
        <w:tc>
          <w:tcPr>
            <w:tcW w:type="dxa" w:w="2448"/>
            <w:shd w:fill="D9EAF7"/>
            <w:vAlign w:val="center"/>
          </w:tcPr>
          <w:p>
            <w:r>
              <w:rPr>
                <w:b/>
              </w:rPr>
              <w:t>Challenge</w:t>
            </w:r>
          </w:p>
        </w:tc>
        <w:tc>
          <w:tcPr>
            <w:tcW w:type="dxa" w:w="2880"/>
            <w:shd w:fill="D9EAF7"/>
            <w:vAlign w:val="center"/>
          </w:tcPr>
          <w:p>
            <w:r>
              <w:rPr>
                <w:b/>
              </w:rPr>
              <w:t>Potential impact</w:t>
            </w:r>
          </w:p>
        </w:tc>
        <w:tc>
          <w:tcPr>
            <w:tcW w:type="dxa" w:w="4752"/>
            <w:shd w:fill="D9EAF7"/>
            <w:vAlign w:val="center"/>
          </w:tcPr>
          <w:p>
            <w:r>
              <w:rPr>
                <w:b/>
              </w:rPr>
              <w:t>Mitigation</w:t>
            </w:r>
          </w:p>
        </w:tc>
      </w:tr>
      <w:tr>
        <w:tc>
          <w:tcPr>
            <w:tcW w:type="dxa" w:w="2448"/>
            <w:vAlign w:val="center"/>
          </w:tcPr>
          <w:p>
            <w:r>
              <w:t>Ambiguous or short ticket text</w:t>
            </w:r>
          </w:p>
        </w:tc>
        <w:tc>
          <w:tcPr>
            <w:tcW w:type="dxa" w:w="2880"/>
            <w:vAlign w:val="center"/>
          </w:tcPr>
          <w:p>
            <w:r>
              <w:t>Incorrect category or priority</w:t>
            </w:r>
          </w:p>
        </w:tc>
        <w:tc>
          <w:tcPr>
            <w:tcW w:type="dxa" w:w="4752"/>
            <w:vAlign w:val="center"/>
          </w:tcPr>
          <w:p>
            <w:r>
              <w:t>Use confidence thresholds, improve examples, and provide a clear human-review path.</w:t>
            </w:r>
          </w:p>
        </w:tc>
      </w:tr>
      <w:tr>
        <w:tc>
          <w:tcPr>
            <w:tcW w:type="dxa" w:w="2448"/>
            <w:vAlign w:val="center"/>
          </w:tcPr>
          <w:p>
            <w:r>
              <w:t>Class imbalance</w:t>
            </w:r>
          </w:p>
        </w:tc>
        <w:tc>
          <w:tcPr>
            <w:tcW w:type="dxa" w:w="2880"/>
            <w:vAlign w:val="center"/>
          </w:tcPr>
          <w:p>
            <w:r>
              <w:t>Model performs well on common classes but poorly on rare ones</w:t>
            </w:r>
          </w:p>
        </w:tc>
        <w:tc>
          <w:tcPr>
            <w:tcW w:type="dxa" w:w="4752"/>
            <w:vAlign w:val="center"/>
          </w:tcPr>
          <w:p>
            <w:r>
              <w:t>Report per-category precision/recall and include enough examples of every category.</w:t>
            </w:r>
          </w:p>
        </w:tc>
      </w:tr>
      <w:tr>
        <w:tc>
          <w:tcPr>
            <w:tcW w:type="dxa" w:w="2448"/>
            <w:vAlign w:val="center"/>
          </w:tcPr>
          <w:p>
            <w:r>
              <w:t>Missing or malformed fields</w:t>
            </w:r>
          </w:p>
        </w:tc>
        <w:tc>
          <w:tcPr>
            <w:tcW w:type="dxa" w:w="2880"/>
            <w:vAlign w:val="center"/>
          </w:tcPr>
          <w:p>
            <w:r>
              <w:t>Processing failures or misleading predictions</w:t>
            </w:r>
          </w:p>
        </w:tc>
        <w:tc>
          <w:tcPr>
            <w:tcW w:type="dxa" w:w="4752"/>
            <w:vAlign w:val="center"/>
          </w:tcPr>
          <w:p>
            <w:r>
              <w:t>Validate schema before inference and quarantine invalid records.</w:t>
            </w:r>
          </w:p>
        </w:tc>
      </w:tr>
      <w:tr>
        <w:tc>
          <w:tcPr>
            <w:tcW w:type="dxa" w:w="2448"/>
            <w:vAlign w:val="center"/>
          </w:tcPr>
          <w:p>
            <w:r>
              <w:t>Unexpected processing delay</w:t>
            </w:r>
          </w:p>
        </w:tc>
        <w:tc>
          <w:tcPr>
            <w:tcW w:type="dxa" w:w="2880"/>
            <w:vAlign w:val="center"/>
          </w:tcPr>
          <w:p>
            <w:r>
              <w:t>Backlog and missed service targets</w:t>
            </w:r>
          </w:p>
        </w:tc>
        <w:tc>
          <w:tcPr>
            <w:tcW w:type="dxa" w:w="4752"/>
            <w:vAlign w:val="center"/>
          </w:tcPr>
          <w:p>
            <w:r>
              <w:t>Measure latency, set timeout limits, and retry temporary failures only once.</w:t>
            </w:r>
          </w:p>
        </w:tc>
      </w:tr>
      <w:tr>
        <w:tc>
          <w:tcPr>
            <w:tcW w:type="dxa" w:w="2448"/>
            <w:vAlign w:val="center"/>
          </w:tcPr>
          <w:p>
            <w:r>
              <w:t>Priority prediction error</w:t>
            </w:r>
          </w:p>
        </w:tc>
        <w:tc>
          <w:tcPr>
            <w:tcW w:type="dxa" w:w="2880"/>
            <w:vAlign w:val="center"/>
          </w:tcPr>
          <w:p>
            <w:r>
              <w:t>Urgent requests may be delayed</w:t>
            </w:r>
          </w:p>
        </w:tc>
        <w:tc>
          <w:tcPr>
            <w:tcW w:type="dxa" w:w="4752"/>
            <w:vAlign w:val="center"/>
          </w:tcPr>
          <w:p>
            <w:r>
              <w:t>Add rule-based escalation and human review for sensitive or urgent terms.</w:t>
            </w:r>
          </w:p>
        </w:tc>
      </w:tr>
      <w:tr>
        <w:tc>
          <w:tcPr>
            <w:tcW w:type="dxa" w:w="2448"/>
            <w:vAlign w:val="center"/>
          </w:tcPr>
          <w:p>
            <w:r>
              <w:t>Privacy or security concern</w:t>
            </w:r>
          </w:p>
        </w:tc>
        <w:tc>
          <w:tcPr>
            <w:tcW w:type="dxa" w:w="2880"/>
            <w:vAlign w:val="center"/>
          </w:tcPr>
          <w:p>
            <w:r>
              <w:t>Exposure of customer data</w:t>
            </w:r>
          </w:p>
        </w:tc>
        <w:tc>
          <w:tcPr>
            <w:tcW w:type="dxa" w:w="4752"/>
            <w:vAlign w:val="center"/>
          </w:tcPr>
          <w:p>
            <w:r>
              <w:t>Use synthetic or anonymized data, restrict access, and avoid logging unnecessary personal information.</w:t>
            </w:r>
          </w:p>
        </w:tc>
      </w:tr>
      <w:tr>
        <w:tc>
          <w:tcPr>
            <w:tcW w:type="dxa" w:w="2448"/>
            <w:vAlign w:val="center"/>
          </w:tcPr>
          <w:p>
            <w:r>
              <w:t>Changing ticket patterns</w:t>
            </w:r>
          </w:p>
        </w:tc>
        <w:tc>
          <w:tcPr>
            <w:tcW w:type="dxa" w:w="2880"/>
            <w:vAlign w:val="center"/>
          </w:tcPr>
          <w:p>
            <w:r>
              <w:t>Declining prediction quality over time</w:t>
            </w:r>
          </w:p>
        </w:tc>
        <w:tc>
          <w:tcPr>
            <w:tcW w:type="dxa" w:w="4752"/>
            <w:vAlign w:val="center"/>
          </w:tcPr>
          <w:p>
            <w:r>
              <w:t>Monitor category distributions and periodically evaluate on fresh labelled data.</w:t>
            </w:r>
          </w:p>
        </w:tc>
      </w:tr>
    </w:tbl>
    <w:p/>
    <w:p>
      <w:pPr>
        <w:pStyle w:val="Heading1"/>
      </w:pPr>
      <w:r>
        <w:t>12. Success Metrics and Monitoring Plan</w:t>
      </w:r>
    </w:p>
    <w:p>
      <w:pPr>
        <w:pStyle w:val="ListBullet"/>
      </w:pPr>
      <w:r>
        <w:t>Accuracy: correct category predictions divided by all labelled records evaluated.</w:t>
      </w:r>
    </w:p>
    <w:p>
      <w:pPr>
        <w:pStyle w:val="ListBullet"/>
      </w:pPr>
      <w:r>
        <w:t>Precision and recall by category: identify categories where false positives or missed cases are concentrated.</w:t>
      </w:r>
    </w:p>
    <w:p>
      <w:pPr>
        <w:pStyle w:val="ListBullet"/>
      </w:pPr>
      <w:r>
        <w:t>Exception rate: failed or quarantined records divided by all submitted records.</w:t>
      </w:r>
    </w:p>
    <w:p>
      <w:pPr>
        <w:pStyle w:val="ListBullet"/>
      </w:pPr>
      <w:r>
        <w:t>Latency: median and 95th-percentile processing time, not just the average.</w:t>
      </w:r>
    </w:p>
    <w:p>
      <w:pPr>
        <w:pStyle w:val="ListBullet"/>
      </w:pPr>
      <w:r>
        <w:t>Human-review rate: share of records routed to manual review, plus queue age and reviewer workload.</w:t>
      </w:r>
    </w:p>
    <w:p>
      <w:pPr>
        <w:pStyle w:val="ListBullet"/>
      </w:pPr>
      <w:r>
        <w:t>Escalation coverage: share of known high-priority cases correctly sent to the escalation path.</w:t>
      </w:r>
    </w:p>
    <w:p>
      <w:pPr>
        <w:pStyle w:val="ListBullet"/>
      </w:pPr>
      <w:r>
        <w:t>Data quality: number of missing fields, duplicate IDs, invalid labels, and out-of-range values.</w:t>
      </w:r>
    </w:p>
    <w:p>
      <w:pPr>
        <w:pStyle w:val="ListBullet"/>
      </w:pPr>
      <w:r>
        <w:t>Operational traceability: whether each prediction has a timestamp, workflow version, confidence score, and routing outcome.</w:t>
      </w:r>
    </w:p>
    <w:p>
      <w:pPr>
        <w:pStyle w:val="Heading1"/>
      </w:pPr>
      <w:r>
        <w:t>13. Actionable Improvement Plan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080"/>
            <w:shd w:fill="D9EAF7"/>
            <w:vAlign w:val="center"/>
          </w:tcPr>
          <w:p>
            <w:r>
              <w:rPr>
                <w:b/>
              </w:rPr>
              <w:t>Priority</w:t>
            </w:r>
          </w:p>
        </w:tc>
        <w:tc>
          <w:tcPr>
            <w:tcW w:type="dxa" w:w="3600"/>
            <w:shd w:fill="D9EAF7"/>
            <w:vAlign w:val="center"/>
          </w:tcPr>
          <w:p>
            <w:r>
              <w:rPr>
                <w:b/>
              </w:rPr>
              <w:t>Action</w:t>
            </w:r>
          </w:p>
        </w:tc>
        <w:tc>
          <w:tcPr>
            <w:tcW w:type="dxa" w:w="2160"/>
            <w:shd w:fill="D9EAF7"/>
            <w:vAlign w:val="center"/>
          </w:tcPr>
          <w:p>
            <w:r>
              <w:rPr>
                <w:b/>
              </w:rPr>
              <w:t>Owner</w:t>
            </w:r>
          </w:p>
        </w:tc>
        <w:tc>
          <w:tcPr>
            <w:tcW w:type="dxa" w:w="1440"/>
            <w:shd w:fill="D9EAF7"/>
            <w:vAlign w:val="center"/>
          </w:tcPr>
          <w:p>
            <w:r>
              <w:rPr>
                <w:b/>
              </w:rPr>
              <w:t>Timing</w:t>
            </w:r>
          </w:p>
        </w:tc>
        <w:tc>
          <w:tcPr>
            <w:tcW w:type="dxa" w:w="1800"/>
            <w:shd w:fill="D9EAF7"/>
            <w:vAlign w:val="center"/>
          </w:tcPr>
          <w:p>
            <w:r>
              <w:rPr>
                <w:b/>
              </w:rPr>
              <w:t>Success evidence</w:t>
            </w:r>
          </w:p>
        </w:tc>
      </w:tr>
      <w:tr>
        <w:tc>
          <w:tcPr>
            <w:tcW w:type="dxa" w:w="1080"/>
            <w:vAlign w:val="center"/>
          </w:tcPr>
          <w:p>
            <w:r>
              <w:t>High</w:t>
            </w:r>
          </w:p>
        </w:tc>
        <w:tc>
          <w:tcPr>
            <w:tcW w:type="dxa" w:w="3600"/>
            <w:vAlign w:val="center"/>
          </w:tcPr>
          <w:p>
            <w:r>
              <w:t>Review all high-impact misclassifications and update escalation rules.</w:t>
            </w:r>
          </w:p>
        </w:tc>
        <w:tc>
          <w:tcPr>
            <w:tcW w:type="dxa" w:w="2160"/>
            <w:vAlign w:val="center"/>
          </w:tcPr>
          <w:p>
            <w:r>
              <w:t>AI Operations Analyst + Support Lead</w:t>
            </w:r>
          </w:p>
        </w:tc>
        <w:tc>
          <w:tcPr>
            <w:tcW w:type="dxa" w:w="1440"/>
            <w:vAlign w:val="center"/>
          </w:tcPr>
          <w:p>
            <w:r>
              <w:t>Before next run</w:t>
            </w:r>
          </w:p>
        </w:tc>
        <w:tc>
          <w:tcPr>
            <w:tcW w:type="dxa" w:w="1800"/>
            <w:vAlign w:val="center"/>
          </w:tcPr>
          <w:p>
            <w:r>
              <w:t>No known urgent test case bypasses escalation.</w:t>
            </w:r>
          </w:p>
        </w:tc>
      </w:tr>
      <w:tr>
        <w:tc>
          <w:tcPr>
            <w:tcW w:type="dxa" w:w="1080"/>
            <w:vAlign w:val="center"/>
          </w:tcPr>
          <w:p>
            <w:r>
              <w:t>High</w:t>
            </w:r>
          </w:p>
        </w:tc>
        <w:tc>
          <w:tcPr>
            <w:tcW w:type="dxa" w:w="3600"/>
            <w:vAlign w:val="center"/>
          </w:tcPr>
          <w:p>
            <w:r>
              <w:t>Add input schema validation and structured exception logging.</w:t>
            </w:r>
          </w:p>
        </w:tc>
        <w:tc>
          <w:tcPr>
            <w:tcW w:type="dxa" w:w="2160"/>
            <w:vAlign w:val="center"/>
          </w:tcPr>
          <w:p>
            <w:r>
              <w:t>Workflow Developer</w:t>
            </w:r>
          </w:p>
        </w:tc>
        <w:tc>
          <w:tcPr>
            <w:tcW w:type="dxa" w:w="1440"/>
            <w:vAlign w:val="center"/>
          </w:tcPr>
          <w:p>
            <w:r>
              <w:t>Within 1 week</w:t>
            </w:r>
          </w:p>
        </w:tc>
        <w:tc>
          <w:tcPr>
            <w:tcW w:type="dxa" w:w="1800"/>
            <w:vAlign w:val="center"/>
          </w:tcPr>
          <w:p>
            <w:r>
              <w:t>Every failed record has a reason code.</w:t>
            </w:r>
          </w:p>
        </w:tc>
      </w:tr>
      <w:tr>
        <w:tc>
          <w:tcPr>
            <w:tcW w:type="dxa" w:w="1080"/>
            <w:vAlign w:val="center"/>
          </w:tcPr>
          <w:p>
            <w:r>
              <w:t>High</w:t>
            </w:r>
          </w:p>
        </w:tc>
        <w:tc>
          <w:tcPr>
            <w:tcW w:type="dxa" w:w="3600"/>
            <w:vAlign w:val="center"/>
          </w:tcPr>
          <w:p>
            <w:r>
              <w:t>Create per-category precision/recall report.</w:t>
            </w:r>
          </w:p>
        </w:tc>
        <w:tc>
          <w:tcPr>
            <w:tcW w:type="dxa" w:w="2160"/>
            <w:vAlign w:val="center"/>
          </w:tcPr>
          <w:p>
            <w:r>
              <w:t>Data/ML Analyst</w:t>
            </w:r>
          </w:p>
        </w:tc>
        <w:tc>
          <w:tcPr>
            <w:tcW w:type="dxa" w:w="1440"/>
            <w:vAlign w:val="center"/>
          </w:tcPr>
          <w:p>
            <w:r>
              <w:t>Within 1 week</w:t>
            </w:r>
          </w:p>
        </w:tc>
        <w:tc>
          <w:tcPr>
            <w:tcW w:type="dxa" w:w="1800"/>
            <w:vAlign w:val="center"/>
          </w:tcPr>
          <w:p>
            <w:r>
              <w:t>Weak categories are identified and assigned actions.</w:t>
            </w:r>
          </w:p>
        </w:tc>
      </w:tr>
      <w:tr>
        <w:tc>
          <w:tcPr>
            <w:tcW w:type="dxa" w:w="1080"/>
            <w:vAlign w:val="center"/>
          </w:tcPr>
          <w:p>
            <w:r>
              <w:t>Medium</w:t>
            </w:r>
          </w:p>
        </w:tc>
        <w:tc>
          <w:tcPr>
            <w:tcW w:type="dxa" w:w="3600"/>
            <w:vAlign w:val="center"/>
          </w:tcPr>
          <w:p>
            <w:r>
              <w:t>Tune the confidence threshold using a labelled validation set.</w:t>
            </w:r>
          </w:p>
        </w:tc>
        <w:tc>
          <w:tcPr>
            <w:tcW w:type="dxa" w:w="2160"/>
            <w:vAlign w:val="center"/>
          </w:tcPr>
          <w:p>
            <w:r>
              <w:t>ML Analyst</w:t>
            </w:r>
          </w:p>
        </w:tc>
        <w:tc>
          <w:tcPr>
            <w:tcW w:type="dxa" w:w="1440"/>
            <w:vAlign w:val="center"/>
          </w:tcPr>
          <w:p>
            <w:r>
              <w:t>Within 2 weeks</w:t>
            </w:r>
          </w:p>
        </w:tc>
        <w:tc>
          <w:tcPr>
            <w:tcW w:type="dxa" w:w="1800"/>
            <w:vAlign w:val="center"/>
          </w:tcPr>
          <w:p>
            <w:r>
              <w:t>Review rate and error rate are compared transparently.</w:t>
            </w:r>
          </w:p>
        </w:tc>
      </w:tr>
      <w:tr>
        <w:tc>
          <w:tcPr>
            <w:tcW w:type="dxa" w:w="1080"/>
            <w:vAlign w:val="center"/>
          </w:tcPr>
          <w:p>
            <w:r>
              <w:t>Medium</w:t>
            </w:r>
          </w:p>
        </w:tc>
        <w:tc>
          <w:tcPr>
            <w:tcW w:type="dxa" w:w="3600"/>
            <w:vAlign w:val="center"/>
          </w:tcPr>
          <w:p>
            <w:r>
              <w:t>Add a dashboard for latency, exceptions, queue size, and category drift.</w:t>
            </w:r>
          </w:p>
        </w:tc>
        <w:tc>
          <w:tcPr>
            <w:tcW w:type="dxa" w:w="2160"/>
            <w:vAlign w:val="center"/>
          </w:tcPr>
          <w:p>
            <w:r>
              <w:t>AI Operations Analyst</w:t>
            </w:r>
          </w:p>
        </w:tc>
        <w:tc>
          <w:tcPr>
            <w:tcW w:type="dxa" w:w="1440"/>
            <w:vAlign w:val="center"/>
          </w:tcPr>
          <w:p>
            <w:r>
              <w:t>Within 2 weeks</w:t>
            </w:r>
          </w:p>
        </w:tc>
        <w:tc>
          <w:tcPr>
            <w:tcW w:type="dxa" w:w="1800"/>
            <w:vAlign w:val="center"/>
          </w:tcPr>
          <w:p>
            <w:r>
              <w:t>Metrics can be checked during each run.</w:t>
            </w:r>
          </w:p>
        </w:tc>
      </w:tr>
      <w:tr>
        <w:tc>
          <w:tcPr>
            <w:tcW w:type="dxa" w:w="1080"/>
            <w:vAlign w:val="center"/>
          </w:tcPr>
          <w:p>
            <w:r>
              <w:t>Medium</w:t>
            </w:r>
          </w:p>
        </w:tc>
        <w:tc>
          <w:tcPr>
            <w:tcW w:type="dxa" w:w="3600"/>
            <w:vAlign w:val="center"/>
          </w:tcPr>
          <w:p>
            <w:r>
              <w:t>Repeat the simulation with noisy, imbalanced, and peak-load scenarios.</w:t>
            </w:r>
          </w:p>
        </w:tc>
        <w:tc>
          <w:tcPr>
            <w:tcW w:type="dxa" w:w="2160"/>
            <w:vAlign w:val="center"/>
          </w:tcPr>
          <w:p>
            <w:r>
              <w:t>QA / Operations Team</w:t>
            </w:r>
          </w:p>
        </w:tc>
        <w:tc>
          <w:tcPr>
            <w:tcW w:type="dxa" w:w="1440"/>
            <w:vAlign w:val="center"/>
          </w:tcPr>
          <w:p>
            <w:r>
              <w:t>Within 3 weeks</w:t>
            </w:r>
          </w:p>
        </w:tc>
        <w:tc>
          <w:tcPr>
            <w:tcW w:type="dxa" w:w="1800"/>
            <w:vAlign w:val="center"/>
          </w:tcPr>
          <w:p>
            <w:r>
              <w:t>Results documented for each scenario.</w:t>
            </w:r>
          </w:p>
        </w:tc>
      </w:tr>
      <w:tr>
        <w:tc>
          <w:tcPr>
            <w:tcW w:type="dxa" w:w="1080"/>
            <w:vAlign w:val="center"/>
          </w:tcPr>
          <w:p>
            <w:r>
              <w:t>Low</w:t>
            </w:r>
          </w:p>
        </w:tc>
        <w:tc>
          <w:tcPr>
            <w:tcW w:type="dxa" w:w="3600"/>
            <w:vAlign w:val="center"/>
          </w:tcPr>
          <w:p>
            <w:r>
              <w:t>Schedule periodic review of labels and workflow configuration.</w:t>
            </w:r>
          </w:p>
        </w:tc>
        <w:tc>
          <w:tcPr>
            <w:tcW w:type="dxa" w:w="2160"/>
            <w:vAlign w:val="center"/>
          </w:tcPr>
          <w:p>
            <w:r>
              <w:t>Support Lead</w:t>
            </w:r>
          </w:p>
        </w:tc>
        <w:tc>
          <w:tcPr>
            <w:tcW w:type="dxa" w:w="1440"/>
            <w:vAlign w:val="center"/>
          </w:tcPr>
          <w:p>
            <w:r>
              <w:t>Monthly</w:t>
            </w:r>
          </w:p>
        </w:tc>
        <w:tc>
          <w:tcPr>
            <w:tcW w:type="dxa" w:w="1800"/>
            <w:vAlign w:val="center"/>
          </w:tcPr>
          <w:p>
            <w:r>
              <w:t>Review log and approved configuration changes.</w:t>
            </w:r>
          </w:p>
        </w:tc>
      </w:tr>
    </w:tbl>
    <w:p/>
    <w:p>
      <w:pPr>
        <w:pStyle w:val="Heading1"/>
      </w:pPr>
      <w:r>
        <w:t>14. Risk Management and Governance</w:t>
      </w:r>
    </w:p>
    <w:p>
      <w:pPr>
        <w:pStyle w:val="ListBullet"/>
      </w:pPr>
      <w:r>
        <w:t>Human oversight: AI predictions are recommendations; reviewers handle low-confidence, urgent, and disputed cases.</w:t>
      </w:r>
    </w:p>
    <w:p>
      <w:pPr>
        <w:pStyle w:val="ListBullet"/>
      </w:pPr>
      <w:r>
        <w:t>Data protection: use synthetic data for this exercise and apply access controls if real data is used in a future project.</w:t>
      </w:r>
    </w:p>
    <w:p>
      <w:pPr>
        <w:pStyle w:val="ListBullet"/>
      </w:pPr>
      <w:r>
        <w:t>Transparency: preserve the prediction, confidence, rule applied, routing decision, and workflow version for audit.</w:t>
      </w:r>
    </w:p>
    <w:p>
      <w:pPr>
        <w:pStyle w:val="ListBullet"/>
      </w:pPr>
      <w:r>
        <w:t>Change control: test configuration or model changes on a validation set before using them in an operational workflow.</w:t>
      </w:r>
    </w:p>
    <w:p>
      <w:pPr>
        <w:pStyle w:val="ListBullet"/>
      </w:pPr>
      <w:r>
        <w:t>Rollback readiness: retain the previous stable configuration and a manual-routing fallback if the AI workflow becomes unreliable.</w:t>
      </w:r>
    </w:p>
    <w:p>
      <w:pPr>
        <w:pStyle w:val="ListBullet"/>
      </w:pPr>
      <w:r>
        <w:t>Fairness and quality: evaluate errors across categories and relevant user groups when lawful, appropriate data is available.</w:t>
      </w:r>
    </w:p>
    <w:p>
      <w:pPr>
        <w:pStyle w:val="Heading1"/>
      </w:pPr>
      <w:r>
        <w:t>15. Conclusion</w:t>
      </w:r>
    </w:p>
    <w:p>
      <w:r>
        <w:t>This simulation demonstrates how an AI Operations Analyst can move from a defined objective to data preparation, workflow configuration, pilot testing, execution, monitoring, exception handling, and outcome review. The key operational lesson is that successful AI execution depends on more than a model prediction: reliable input checks, measurable service targets, human oversight, traceable logs, and a repeatable improvement process are equally important. The illustrative results suggest how to structure an evaluation, but they must not be presented as actual measured performance unless the workflow is run and the figures are verified.</w:t>
      </w:r>
    </w:p>
    <w:p>
      <w:pPr>
        <w:pStyle w:val="Heading1"/>
      </w:pPr>
      <w:r>
        <w:t>Appendix A – Suggested Run Log Fields</w:t>
      </w:r>
    </w:p>
    <w:p>
      <w:r>
        <w:t>Record one row per ticket with these fields: run_id, timestamp, ticket_id, input_valid, expected_category, predicted_category, confidence_score, expected_priority, predicted_priority, processing_time_ms, routing_destination, exception_code, reviewer_decision, workflow_version, and notes. Do not include real names, phone numbers, email addresses, or other unnecessary personal information.</w:t>
      </w:r>
    </w:p>
    <w:p>
      <w:pPr>
        <w:pStyle w:val="Heading1"/>
      </w:pPr>
      <w:r>
        <w:t>Appendix B – Submission Checklist</w:t>
      </w:r>
    </w:p>
    <w:p>
      <w:pPr>
        <w:pStyle w:val="ListBullet"/>
      </w:pPr>
      <w:r>
        <w:t>Confirm that the cover page includes the correct student and institution details.</w:t>
      </w:r>
    </w:p>
    <w:p>
      <w:pPr>
        <w:pStyle w:val="ListBullet"/>
      </w:pPr>
      <w:r>
        <w:t>If you run the simulation, replace every illustrative result with measured values and briefly explain how they were calculated.</w:t>
      </w:r>
    </w:p>
    <w:p>
      <w:pPr>
        <w:pStyle w:val="ListBullet"/>
      </w:pPr>
      <w:r>
        <w:t>Check that the report opens correctly in Microsoft Word or a compatible editor.</w:t>
      </w:r>
    </w:p>
    <w:p>
      <w:pPr>
        <w:pStyle w:val="ListBullet"/>
      </w:pPr>
      <w:r>
        <w:t>Save or export as .docx if the platform accepts Word documents; if YuvaIntern specifically requires legacy .doc, use Word's Save As option to select Word 97–2003 Document (.doc).</w:t>
      </w:r>
    </w:p>
    <w:p>
      <w:pPr>
        <w:pStyle w:val="ListBullet"/>
      </w:pPr>
      <w:r>
        <w:t>Upload the final file to the appropriate Task 2 submission field and keep a copy of the submitted version.</w:t>
      </w:r>
    </w:p>
    <w:sectPr w:rsidR="00FC693F" w:rsidRPr="0006063C" w:rsidSect="00034616">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YuvaIntern Task 2 | AI Operations Execution Simulation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