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AI OPERATIONS STRATEGIC PLAN</w:t>
      </w:r>
    </w:p>
    <w:p>
      <w:pPr>
        <w:jc w:val="center"/>
      </w:pPr>
      <w:r>
        <w:rPr>
          <w:sz w:val="28"/>
        </w:rPr>
        <w:t>Blueprint for Planning, Implementing and Managing AI in a Virtual Organizational Environment</w:t>
      </w:r>
    </w:p>
    <w:p>
      <w:pPr>
        <w:jc w:val="center"/>
      </w:pPr>
      <w:r>
        <w:rPr>
          <w:sz w:val="22"/>
        </w:rPr>
        <w:br/>
        <w:t>Prepared from the perspective of an AI Operations Analyst</w:t>
        <w:br/>
      </w:r>
      <w:r>
        <w:rPr>
          <w:sz w:val="20"/>
        </w:rPr>
        <w:t>Strategic planning document • 2026</w:t>
      </w:r>
    </w:p>
    <w:p/>
    <w:p>
      <w:pPr>
        <w:jc w:val="center"/>
      </w:pPr>
      <w:r>
        <w:rPr>
          <w:b/>
        </w:rPr>
        <w:t xml:space="preserve">Purpose: </w:t>
      </w:r>
      <w:r>
        <w:t>Provide a practical roadmap for assessing AI opportunities, allocating resources, managing risks, deploying priority use cases, and measuring operational value.</w:t>
      </w:r>
    </w:p>
    <w:p>
      <w:r>
        <w:br w:type="page"/>
      </w:r>
    </w:p>
    <w:p>
      <w:pPr>
        <w:pStyle w:val="Heading1"/>
      </w:pPr>
      <w:r>
        <w:t>Executive Summary</w:t>
      </w:r>
    </w:p>
    <w:p>
      <w:r>
        <w:t>This strategic plan proposes a controlled, business-led approach to introducing artificial intelligence (AI) into an organization. The recommended model starts with business objectives and operational pain points rather than technology selection. AI use cases are then assessed for value, feasibility, data readiness, risk and implementation effort before moving through pilot, production and continuous-improvement stages.</w:t>
      </w:r>
    </w:p>
    <w:p>
      <w:r>
        <w:t>The operating model combines a central AI governance function with distributed business ownership. It uses the NIST AI Risk Management Framework (AI RMF) concepts of Govern, Map, Measure and Manage, while aligning the management-system approach of ISO/IEC 42001. NIST notes that AI risk management should address trustworthy characteristics across design, development, deployment and evaluation; ISO/IEC 42001 provides requirements for establishing, implementing, maintaining and continually improving an AI management system.</w:t>
      </w:r>
    </w:p>
    <w:p>
      <w:r>
        <w:t>The initial 12-month roadmap prioritizes high-value, lower-risk use cases such as employee knowledge assistance, document summarization, service-desk support, workflow classification and operational analytics. Higher-impact applications should require stronger testing, human oversight, documented risk treatment and executive approval.</w:t>
      </w:r>
    </w:p>
    <w:p>
      <w:r>
        <w:t>Expected outcomes include faster routine work, improved decision support, reduced manual processing, better knowledge access, stronger operational visibility, and a repeatable governance process for scaling AI responsibly.</w:t>
      </w:r>
    </w:p>
    <w:p>
      <w:pPr>
        <w:pStyle w:val="Heading2"/>
      </w:pPr>
      <w:r>
        <w:t>Recommended Strategic Principles</w:t>
      </w:r>
    </w:p>
    <w:p>
      <w:pPr>
        <w:pStyle w:val="ListBullet"/>
      </w:pPr>
      <w:r>
        <w:t>Business value first: every AI initiative must have a measurable operational problem, owner and baseline.</w:t>
      </w:r>
    </w:p>
    <w:p>
      <w:pPr>
        <w:pStyle w:val="ListBullet"/>
      </w:pPr>
      <w:r>
        <w:t>Human accountability: AI should support or augment accountable employees; high-impact decisions require defined human review.</w:t>
      </w:r>
    </w:p>
    <w:p>
      <w:pPr>
        <w:pStyle w:val="ListBullet"/>
      </w:pPr>
      <w:r>
        <w:t>Secure-by-design: protect confidential information, credentials, personal data and intellectual property throughout the AI lifecycle.</w:t>
      </w:r>
    </w:p>
    <w:p>
      <w:pPr>
        <w:pStyle w:val="ListBullet"/>
      </w:pPr>
      <w:r>
        <w:t>Evidence before scale: pilots must demonstrate quality, safety, adoption and economic value before production expansion.</w:t>
      </w:r>
    </w:p>
    <w:p>
      <w:pPr>
        <w:pStyle w:val="ListBullet"/>
      </w:pPr>
      <w:r>
        <w:t>Lifecycle management: monitor models, prompts, data, integrations, costs, incidents and user feedback after deployment.</w:t>
      </w:r>
    </w:p>
    <w:p>
      <w:pPr>
        <w:pStyle w:val="ListBullet"/>
      </w:pPr>
      <w:r>
        <w:t>Standardized governance: use common intake, risk classification, approval, documentation and monitoring controls.</w:t>
      </w:r>
    </w:p>
    <w:p>
      <w:pPr>
        <w:pStyle w:val="Heading1"/>
      </w:pPr>
      <w:r>
        <w:t>1. Introduction and Strategic Context</w:t>
      </w:r>
    </w:p>
    <w:p>
      <w:r>
        <w:t>AI Operations (AI Ops) is the organizational capability required to make AI useful, controlled and sustainable after the initial experimentation stage. It covers use-case intake, technology assessment, data readiness, implementation planning, governance, monitoring, user adoption, incident management, vendor management and continuous improvement.</w:t>
      </w:r>
    </w:p>
    <w:p>
      <w:r>
        <w:t>The organization should treat AI as an operating capability rather than a single software purchase. The AI Operations Analyst acts as a bridge between business teams, IT, data teams, cybersecurity, legal/compliance, finance and leadership.</w:t>
      </w:r>
    </w:p>
    <w:p>
      <w:pPr>
        <w:pStyle w:val="Heading2"/>
      </w:pPr>
      <w:r>
        <w:t>Current AI Trends and Best-Practice Implications</w:t>
      </w:r>
    </w:p>
    <w:tbl>
      <w:tblPr>
        <w:tblStyle w:val="TableGrid"/>
        <w:tblW w:type="auto" w:w="0"/>
        <w:jc w:val="center"/>
        <w:tblLook w:firstColumn="1" w:firstRow="1" w:lastColumn="0" w:lastRow="0" w:noHBand="0" w:noVBand="1" w:val="04A0"/>
      </w:tblPr>
      <w:tblGrid>
        <w:gridCol w:w="3312"/>
        <w:gridCol w:w="3312"/>
        <w:gridCol w:w="3312"/>
      </w:tblGrid>
      <w:tr>
        <w:tc>
          <w:tcPr>
            <w:tcW w:type="dxa" w:w="2880"/>
            <w:vAlign w:val="center"/>
            <w:shd w:fill="D9EAF7"/>
          </w:tcPr>
          <w:p>
            <w:r/>
            <w:r>
              <w:rPr>
                <w:b/>
                <w:sz w:val="18"/>
              </w:rPr>
              <w:t>Trend / observation</w:t>
            </w:r>
          </w:p>
        </w:tc>
        <w:tc>
          <w:tcPr>
            <w:tcW w:type="dxa" w:w="3456"/>
            <w:vAlign w:val="center"/>
            <w:shd w:fill="D9EAF7"/>
          </w:tcPr>
          <w:p>
            <w:r/>
            <w:r>
              <w:rPr>
                <w:b/>
                <w:sz w:val="18"/>
              </w:rPr>
              <w:t>Operational implication</w:t>
            </w:r>
          </w:p>
        </w:tc>
        <w:tc>
          <w:tcPr>
            <w:tcW w:type="dxa" w:w="3456"/>
            <w:vAlign w:val="center"/>
            <w:shd w:fill="D9EAF7"/>
          </w:tcPr>
          <w:p>
            <w:r/>
            <w:r>
              <w:rPr>
                <w:b/>
                <w:sz w:val="18"/>
              </w:rPr>
              <w:t>Planning response</w:t>
            </w:r>
          </w:p>
        </w:tc>
      </w:tr>
      <w:tr>
        <w:tc>
          <w:tcPr>
            <w:tcW w:type="dxa" w:w="2880"/>
            <w:vAlign w:val="center"/>
          </w:tcPr>
          <w:p>
            <w:r/>
            <w:r>
              <w:rPr>
                <w:b w:val="0"/>
                <w:sz w:val="17"/>
              </w:rPr>
              <w:t>Generative AI and AI assistants are becoming embedded in knowledge work.</w:t>
            </w:r>
          </w:p>
        </w:tc>
        <w:tc>
          <w:tcPr>
            <w:tcW w:type="dxa" w:w="3456"/>
            <w:vAlign w:val="center"/>
          </w:tcPr>
          <w:p>
            <w:r/>
            <w:r>
              <w:rPr>
                <w:b w:val="0"/>
                <w:sz w:val="17"/>
              </w:rPr>
              <w:t>Demand will spread beyond isolated pilots into everyday workflows.</w:t>
            </w:r>
          </w:p>
        </w:tc>
        <w:tc>
          <w:tcPr>
            <w:tcW w:type="dxa" w:w="3456"/>
            <w:vAlign w:val="center"/>
          </w:tcPr>
          <w:p>
            <w:r/>
            <w:r>
              <w:rPr>
                <w:b w:val="0"/>
                <w:sz w:val="17"/>
              </w:rPr>
              <w:t>Create an approved AI-use-case portfolio and standard onboarding process.</w:t>
            </w:r>
          </w:p>
        </w:tc>
      </w:tr>
      <w:tr>
        <w:tc>
          <w:tcPr>
            <w:tcW w:type="dxa" w:w="2880"/>
            <w:vAlign w:val="center"/>
          </w:tcPr>
          <w:p>
            <w:r/>
            <w:r>
              <w:rPr>
                <w:b w:val="0"/>
                <w:sz w:val="17"/>
              </w:rPr>
              <w:t>AI agents and workflow automation increase the potential for systems to take actions, not just generate content.</w:t>
            </w:r>
          </w:p>
        </w:tc>
        <w:tc>
          <w:tcPr>
            <w:tcW w:type="dxa" w:w="3456"/>
            <w:vAlign w:val="center"/>
          </w:tcPr>
          <w:p>
            <w:r/>
            <w:r>
              <w:rPr>
                <w:b w:val="0"/>
                <w:sz w:val="17"/>
              </w:rPr>
              <w:t>Errors can create direct operational impact when AI has access to tools or transactions.</w:t>
            </w:r>
          </w:p>
        </w:tc>
        <w:tc>
          <w:tcPr>
            <w:tcW w:type="dxa" w:w="3456"/>
            <w:vAlign w:val="center"/>
          </w:tcPr>
          <w:p>
            <w:r/>
            <w:r>
              <w:rPr>
                <w:b w:val="0"/>
                <w:sz w:val="17"/>
              </w:rPr>
              <w:t>Use least-privilege access, approval gates, sandboxing and transaction limits.</w:t>
            </w:r>
          </w:p>
        </w:tc>
      </w:tr>
      <w:tr>
        <w:tc>
          <w:tcPr>
            <w:tcW w:type="dxa" w:w="2880"/>
            <w:vAlign w:val="center"/>
          </w:tcPr>
          <w:p>
            <w:r/>
            <w:r>
              <w:rPr>
                <w:b w:val="0"/>
                <w:sz w:val="17"/>
              </w:rPr>
              <w:t>Post-deployment monitoring is increasingly important because real-world behavior can differ from controlled testing.</w:t>
            </w:r>
          </w:p>
        </w:tc>
        <w:tc>
          <w:tcPr>
            <w:tcW w:type="dxa" w:w="3456"/>
            <w:vAlign w:val="center"/>
          </w:tcPr>
          <w:p>
            <w:r/>
            <w:r>
              <w:rPr>
                <w:b w:val="0"/>
                <w:sz w:val="17"/>
              </w:rPr>
              <w:t>Model quality cannot be treated as a one-time certification.</w:t>
            </w:r>
          </w:p>
        </w:tc>
        <w:tc>
          <w:tcPr>
            <w:tcW w:type="dxa" w:w="3456"/>
            <w:vAlign w:val="center"/>
          </w:tcPr>
          <w:p>
            <w:r/>
            <w:r>
              <w:rPr>
                <w:b w:val="0"/>
                <w:sz w:val="17"/>
              </w:rPr>
              <w:t>Establish production monitoring, incident response and periodic re-evaluation.</w:t>
            </w:r>
          </w:p>
        </w:tc>
      </w:tr>
      <w:tr>
        <w:tc>
          <w:tcPr>
            <w:tcW w:type="dxa" w:w="2880"/>
            <w:vAlign w:val="center"/>
          </w:tcPr>
          <w:p>
            <w:r/>
            <w:r>
              <w:rPr>
                <w:b w:val="0"/>
                <w:sz w:val="17"/>
              </w:rPr>
              <w:t>AI governance is becoming a management-system discipline.</w:t>
            </w:r>
          </w:p>
        </w:tc>
        <w:tc>
          <w:tcPr>
            <w:tcW w:type="dxa" w:w="3456"/>
            <w:vAlign w:val="center"/>
          </w:tcPr>
          <w:p>
            <w:r/>
            <w:r>
              <w:rPr>
                <w:b w:val="0"/>
                <w:sz w:val="17"/>
              </w:rPr>
              <w:t>Policies need owners, evidence, reviews and continual improvement.</w:t>
            </w:r>
          </w:p>
        </w:tc>
        <w:tc>
          <w:tcPr>
            <w:tcW w:type="dxa" w:w="3456"/>
            <w:vAlign w:val="center"/>
          </w:tcPr>
          <w:p>
            <w:r/>
            <w:r>
              <w:rPr>
                <w:b w:val="0"/>
                <w:sz w:val="17"/>
              </w:rPr>
              <w:t>Align governance with ISO/IEC 42001 and NIST AI RMF principles.</w:t>
            </w:r>
          </w:p>
        </w:tc>
      </w:tr>
      <w:tr>
        <w:tc>
          <w:tcPr>
            <w:tcW w:type="dxa" w:w="2880"/>
            <w:vAlign w:val="center"/>
          </w:tcPr>
          <w:p>
            <w:r/>
            <w:r>
              <w:rPr>
                <w:b w:val="0"/>
                <w:sz w:val="17"/>
              </w:rPr>
              <w:t>Data quality, integration and security remain major deployment constraints.</w:t>
            </w:r>
          </w:p>
        </w:tc>
        <w:tc>
          <w:tcPr>
            <w:tcW w:type="dxa" w:w="3456"/>
            <w:vAlign w:val="center"/>
          </w:tcPr>
          <w:p>
            <w:r/>
            <w:r>
              <w:rPr>
                <w:b w:val="0"/>
                <w:sz w:val="17"/>
              </w:rPr>
              <w:t>A technically strong model can still fail operationally.</w:t>
            </w:r>
          </w:p>
        </w:tc>
        <w:tc>
          <w:tcPr>
            <w:tcW w:type="dxa" w:w="3456"/>
            <w:vAlign w:val="center"/>
          </w:tcPr>
          <w:p>
            <w:r/>
            <w:r>
              <w:rPr>
                <w:b w:val="0"/>
                <w:sz w:val="17"/>
              </w:rPr>
              <w:t>Score data readiness and integration complexity during use-case selection.</w:t>
            </w:r>
          </w:p>
        </w:tc>
      </w:tr>
    </w:tbl>
    <w:p/>
    <w:p>
      <w:r>
        <w:t>Research basis: NIST describes the AI RMF as a voluntary framework for managing AI risks and promoting trustworthy AI, with four core functions—Govern, Map, Measure and Manage. NIST also emphasizes the importance of post-deployment monitoring because deployed systems can exhibit unexpected outputs or consequences. ISO/IEC 42001 provides a formal AI management-system approach covering governance, planning, operation, performance evaluation and continual improvement.</w:t>
      </w:r>
    </w:p>
    <w:p>
      <w:pPr>
        <w:pStyle w:val="Heading1"/>
      </w:pPr>
      <w:r>
        <w:t>2. Organizational Objectives and AI Alignment</w:t>
      </w:r>
    </w:p>
    <w:p>
      <w:r>
        <w:t>Because no specific organization was supplied for this simulation, the following objectives are treated as a realistic generic enterprise baseline. They should be replaced with actual strategic priorities during initiation.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Organizational objective</w:t>
            </w:r>
          </w:p>
        </w:tc>
        <w:tc>
          <w:tcPr>
            <w:tcW w:type="dxa" w:w="3312"/>
            <w:vAlign w:val="center"/>
            <w:shd w:fill="D9EAF7"/>
          </w:tcPr>
          <w:p>
            <w:r/>
            <w:r>
              <w:rPr>
                <w:b/>
                <w:sz w:val="18"/>
              </w:rPr>
              <w:t>AI contribution</w:t>
            </w:r>
          </w:p>
        </w:tc>
        <w:tc>
          <w:tcPr>
            <w:tcW w:type="dxa" w:w="3312"/>
            <w:vAlign w:val="center"/>
            <w:shd w:fill="D9EAF7"/>
          </w:tcPr>
          <w:p>
            <w:r/>
            <w:r>
              <w:rPr>
                <w:b/>
                <w:sz w:val="18"/>
              </w:rPr>
              <w:t>Primary KPI</w:t>
            </w:r>
          </w:p>
        </w:tc>
      </w:tr>
      <w:tr>
        <w:tc>
          <w:tcPr>
            <w:tcW w:type="dxa" w:w="3312"/>
            <w:vAlign w:val="center"/>
          </w:tcPr>
          <w:p>
            <w:r/>
            <w:r>
              <w:rPr>
                <w:b w:val="0"/>
                <w:sz w:val="17"/>
              </w:rPr>
              <w:t>Increase operational efficiency</w:t>
            </w:r>
          </w:p>
        </w:tc>
        <w:tc>
          <w:tcPr>
            <w:tcW w:type="dxa" w:w="3312"/>
            <w:vAlign w:val="center"/>
          </w:tcPr>
          <w:p>
            <w:r/>
            <w:r>
              <w:rPr>
                <w:b w:val="0"/>
                <w:sz w:val="17"/>
              </w:rPr>
              <w:t>Automate repetitive classification, summarization, search and routing.</w:t>
            </w:r>
          </w:p>
        </w:tc>
        <w:tc>
          <w:tcPr>
            <w:tcW w:type="dxa" w:w="3312"/>
            <w:vAlign w:val="center"/>
          </w:tcPr>
          <w:p>
            <w:r/>
            <w:r>
              <w:rPr>
                <w:b w:val="0"/>
                <w:sz w:val="17"/>
              </w:rPr>
              <w:t>Hours saved / transaction; cycle-time reduction</w:t>
            </w:r>
          </w:p>
        </w:tc>
      </w:tr>
      <w:tr>
        <w:tc>
          <w:tcPr>
            <w:tcW w:type="dxa" w:w="3312"/>
            <w:vAlign w:val="center"/>
          </w:tcPr>
          <w:p>
            <w:r/>
            <w:r>
              <w:rPr>
                <w:b w:val="0"/>
                <w:sz w:val="17"/>
              </w:rPr>
              <w:t>Improve service quality</w:t>
            </w:r>
          </w:p>
        </w:tc>
        <w:tc>
          <w:tcPr>
            <w:tcW w:type="dxa" w:w="3312"/>
            <w:vAlign w:val="center"/>
          </w:tcPr>
          <w:p>
            <w:r/>
            <w:r>
              <w:rPr>
                <w:b w:val="0"/>
                <w:sz w:val="17"/>
              </w:rPr>
              <w:t>Assist service teams with knowledge retrieval, response drafting and quality checks.</w:t>
            </w:r>
          </w:p>
        </w:tc>
        <w:tc>
          <w:tcPr>
            <w:tcW w:type="dxa" w:w="3312"/>
            <w:vAlign w:val="center"/>
          </w:tcPr>
          <w:p>
            <w:r/>
            <w:r>
              <w:rPr>
                <w:b w:val="0"/>
                <w:sz w:val="17"/>
              </w:rPr>
              <w:t>First-contact resolution; quality score</w:t>
            </w:r>
          </w:p>
        </w:tc>
      </w:tr>
      <w:tr>
        <w:tc>
          <w:tcPr>
            <w:tcW w:type="dxa" w:w="3312"/>
            <w:vAlign w:val="center"/>
          </w:tcPr>
          <w:p>
            <w:r/>
            <w:r>
              <w:rPr>
                <w:b w:val="0"/>
                <w:sz w:val="17"/>
              </w:rPr>
              <w:t>Improve decision support</w:t>
            </w:r>
          </w:p>
        </w:tc>
        <w:tc>
          <w:tcPr>
            <w:tcW w:type="dxa" w:w="3312"/>
            <w:vAlign w:val="center"/>
          </w:tcPr>
          <w:p>
            <w:r/>
            <w:r>
              <w:rPr>
                <w:b w:val="0"/>
                <w:sz w:val="17"/>
              </w:rPr>
              <w:t>Provide trend analysis, forecasting and scenario summaries.</w:t>
            </w:r>
          </w:p>
        </w:tc>
        <w:tc>
          <w:tcPr>
            <w:tcW w:type="dxa" w:w="3312"/>
            <w:vAlign w:val="center"/>
          </w:tcPr>
          <w:p>
            <w:r/>
            <w:r>
              <w:rPr>
                <w:b w:val="0"/>
                <w:sz w:val="17"/>
              </w:rPr>
              <w:t>Decision cycle time; forecast error</w:t>
            </w:r>
          </w:p>
        </w:tc>
      </w:tr>
      <w:tr>
        <w:tc>
          <w:tcPr>
            <w:tcW w:type="dxa" w:w="3312"/>
            <w:vAlign w:val="center"/>
          </w:tcPr>
          <w:p>
            <w:r/>
            <w:r>
              <w:rPr>
                <w:b w:val="0"/>
                <w:sz w:val="17"/>
              </w:rPr>
              <w:t>Strengthen employee capability</w:t>
            </w:r>
          </w:p>
        </w:tc>
        <w:tc>
          <w:tcPr>
            <w:tcW w:type="dxa" w:w="3312"/>
            <w:vAlign w:val="center"/>
          </w:tcPr>
          <w:p>
            <w:r/>
            <w:r>
              <w:rPr>
                <w:b w:val="0"/>
                <w:sz w:val="17"/>
              </w:rPr>
              <w:t>Provide governed knowledge assistants and role-based AI training.</w:t>
            </w:r>
          </w:p>
        </w:tc>
        <w:tc>
          <w:tcPr>
            <w:tcW w:type="dxa" w:w="3312"/>
            <w:vAlign w:val="center"/>
          </w:tcPr>
          <w:p>
            <w:r/>
            <w:r>
              <w:rPr>
                <w:b w:val="0"/>
                <w:sz w:val="17"/>
              </w:rPr>
              <w:t>Adoption; task completion time</w:t>
            </w:r>
          </w:p>
        </w:tc>
      </w:tr>
      <w:tr>
        <w:tc>
          <w:tcPr>
            <w:tcW w:type="dxa" w:w="3312"/>
            <w:vAlign w:val="center"/>
          </w:tcPr>
          <w:p>
            <w:r/>
            <w:r>
              <w:rPr>
                <w:b w:val="0"/>
                <w:sz w:val="17"/>
              </w:rPr>
              <w:t>Control operating costs</w:t>
            </w:r>
          </w:p>
        </w:tc>
        <w:tc>
          <w:tcPr>
            <w:tcW w:type="dxa" w:w="3312"/>
            <w:vAlign w:val="center"/>
          </w:tcPr>
          <w:p>
            <w:r/>
            <w:r>
              <w:rPr>
                <w:b w:val="0"/>
                <w:sz w:val="17"/>
              </w:rPr>
              <w:t>Reduce manual effort while monitoring AI infrastructure and vendor costs.</w:t>
            </w:r>
          </w:p>
        </w:tc>
        <w:tc>
          <w:tcPr>
            <w:tcW w:type="dxa" w:w="3312"/>
            <w:vAlign w:val="center"/>
          </w:tcPr>
          <w:p>
            <w:r/>
            <w:r>
              <w:rPr>
                <w:b w:val="0"/>
                <w:sz w:val="17"/>
              </w:rPr>
              <w:t>Cost per transaction; AI cost / business value</w:t>
            </w:r>
          </w:p>
        </w:tc>
      </w:tr>
      <w:tr>
        <w:tc>
          <w:tcPr>
            <w:tcW w:type="dxa" w:w="3312"/>
            <w:vAlign w:val="center"/>
          </w:tcPr>
          <w:p>
            <w:r/>
            <w:r>
              <w:rPr>
                <w:b w:val="0"/>
                <w:sz w:val="17"/>
              </w:rPr>
              <w:t>Manage enterprise risk</w:t>
            </w:r>
          </w:p>
        </w:tc>
        <w:tc>
          <w:tcPr>
            <w:tcW w:type="dxa" w:w="3312"/>
            <w:vAlign w:val="center"/>
          </w:tcPr>
          <w:p>
            <w:r/>
            <w:r>
              <w:rPr>
                <w:b w:val="0"/>
                <w:sz w:val="17"/>
              </w:rPr>
              <w:t>Standardize AI inventory, risk assessment, testing and incident management.</w:t>
            </w:r>
          </w:p>
        </w:tc>
        <w:tc>
          <w:tcPr>
            <w:tcW w:type="dxa" w:w="3312"/>
            <w:vAlign w:val="center"/>
          </w:tcPr>
          <w:p>
            <w:r/>
            <w:r>
              <w:rPr>
                <w:b w:val="0"/>
                <w:sz w:val="17"/>
              </w:rPr>
              <w:t>Risk assessment coverage; incidents; remediation time</w:t>
            </w:r>
          </w:p>
        </w:tc>
      </w:tr>
    </w:tbl>
    <w:p/>
    <w:p>
      <w:pPr>
        <w:pStyle w:val="Heading2"/>
      </w:pPr>
      <w:r>
        <w:t>AI Use-Case Prioritization Model</w:t>
      </w:r>
    </w:p>
    <w:p>
      <w:r>
        <w:t>Each candidate use case should be scored from 1–5 on business value, feasibility, data readiness, risk, time-to-value and integration effort. A weighted score can then determine the implementation sequence.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Criterion</w:t>
            </w:r>
          </w:p>
        </w:tc>
        <w:tc>
          <w:tcPr>
            <w:tcW w:type="dxa" w:w="3312"/>
            <w:vAlign w:val="center"/>
            <w:shd w:fill="D9EAF7"/>
          </w:tcPr>
          <w:p>
            <w:r/>
            <w:r>
              <w:rPr>
                <w:b/>
                <w:sz w:val="18"/>
              </w:rPr>
              <w:t>Weight</w:t>
            </w:r>
          </w:p>
        </w:tc>
        <w:tc>
          <w:tcPr>
            <w:tcW w:type="dxa" w:w="3312"/>
            <w:vAlign w:val="center"/>
            <w:shd w:fill="D9EAF7"/>
          </w:tcPr>
          <w:p>
            <w:r/>
            <w:r>
              <w:rPr>
                <w:b/>
                <w:sz w:val="18"/>
              </w:rPr>
              <w:t>What to assess</w:t>
            </w:r>
          </w:p>
        </w:tc>
      </w:tr>
      <w:tr>
        <w:tc>
          <w:tcPr>
            <w:tcW w:type="dxa" w:w="3312"/>
            <w:vAlign w:val="center"/>
          </w:tcPr>
          <w:p>
            <w:r/>
            <w:r>
              <w:rPr>
                <w:b w:val="0"/>
                <w:sz w:val="17"/>
              </w:rPr>
              <w:t>Business value</w:t>
            </w:r>
          </w:p>
        </w:tc>
        <w:tc>
          <w:tcPr>
            <w:tcW w:type="dxa" w:w="3312"/>
            <w:vAlign w:val="center"/>
          </w:tcPr>
          <w:p>
            <w:r/>
            <w:r>
              <w:rPr>
                <w:b w:val="0"/>
                <w:sz w:val="17"/>
              </w:rPr>
              <w:t>25%</w:t>
            </w:r>
          </w:p>
        </w:tc>
        <w:tc>
          <w:tcPr>
            <w:tcW w:type="dxa" w:w="3312"/>
            <w:vAlign w:val="center"/>
          </w:tcPr>
          <w:p>
            <w:r/>
            <w:r>
              <w:rPr>
                <w:b w:val="0"/>
                <w:sz w:val="17"/>
              </w:rPr>
              <w:t>Cost, revenue, productivity, quality or customer impact</w:t>
            </w:r>
          </w:p>
        </w:tc>
      </w:tr>
      <w:tr>
        <w:tc>
          <w:tcPr>
            <w:tcW w:type="dxa" w:w="3312"/>
            <w:vAlign w:val="center"/>
          </w:tcPr>
          <w:p>
            <w:r/>
            <w:r>
              <w:rPr>
                <w:b w:val="0"/>
                <w:sz w:val="17"/>
              </w:rPr>
              <w:t>Feasibility</w:t>
            </w:r>
          </w:p>
        </w:tc>
        <w:tc>
          <w:tcPr>
            <w:tcW w:type="dxa" w:w="3312"/>
            <w:vAlign w:val="center"/>
          </w:tcPr>
          <w:p>
            <w:r/>
            <w:r>
              <w:rPr>
                <w:b w:val="0"/>
                <w:sz w:val="17"/>
              </w:rPr>
              <w:t>15%</w:t>
            </w:r>
          </w:p>
        </w:tc>
        <w:tc>
          <w:tcPr>
            <w:tcW w:type="dxa" w:w="3312"/>
            <w:vAlign w:val="center"/>
          </w:tcPr>
          <w:p>
            <w:r/>
            <w:r>
              <w:rPr>
                <w:b w:val="0"/>
                <w:sz w:val="17"/>
              </w:rPr>
              <w:t>Technical maturity, workflow fit and implementation complexity</w:t>
            </w:r>
          </w:p>
        </w:tc>
      </w:tr>
      <w:tr>
        <w:tc>
          <w:tcPr>
            <w:tcW w:type="dxa" w:w="3312"/>
            <w:vAlign w:val="center"/>
          </w:tcPr>
          <w:p>
            <w:r/>
            <w:r>
              <w:rPr>
                <w:b w:val="0"/>
                <w:sz w:val="17"/>
              </w:rPr>
              <w:t>Data readiness</w:t>
            </w:r>
          </w:p>
        </w:tc>
        <w:tc>
          <w:tcPr>
            <w:tcW w:type="dxa" w:w="3312"/>
            <w:vAlign w:val="center"/>
          </w:tcPr>
          <w:p>
            <w:r/>
            <w:r>
              <w:rPr>
                <w:b w:val="0"/>
                <w:sz w:val="17"/>
              </w:rPr>
              <w:t>15%</w:t>
            </w:r>
          </w:p>
        </w:tc>
        <w:tc>
          <w:tcPr>
            <w:tcW w:type="dxa" w:w="3312"/>
            <w:vAlign w:val="center"/>
          </w:tcPr>
          <w:p>
            <w:r/>
            <w:r>
              <w:rPr>
                <w:b w:val="0"/>
                <w:sz w:val="17"/>
              </w:rPr>
              <w:t>Availability, quality, permissions, lineage and privacy</w:t>
            </w:r>
          </w:p>
        </w:tc>
      </w:tr>
      <w:tr>
        <w:tc>
          <w:tcPr>
            <w:tcW w:type="dxa" w:w="3312"/>
            <w:vAlign w:val="center"/>
          </w:tcPr>
          <w:p>
            <w:r/>
            <w:r>
              <w:rPr>
                <w:b w:val="0"/>
                <w:sz w:val="17"/>
              </w:rPr>
              <w:t>Risk / impact</w:t>
            </w:r>
          </w:p>
        </w:tc>
        <w:tc>
          <w:tcPr>
            <w:tcW w:type="dxa" w:w="3312"/>
            <w:vAlign w:val="center"/>
          </w:tcPr>
          <w:p>
            <w:r/>
            <w:r>
              <w:rPr>
                <w:b w:val="0"/>
                <w:sz w:val="17"/>
              </w:rPr>
              <w:t>20%</w:t>
            </w:r>
          </w:p>
        </w:tc>
        <w:tc>
          <w:tcPr>
            <w:tcW w:type="dxa" w:w="3312"/>
            <w:vAlign w:val="center"/>
          </w:tcPr>
          <w:p>
            <w:r/>
            <w:r>
              <w:rPr>
                <w:b w:val="0"/>
                <w:sz w:val="17"/>
              </w:rPr>
              <w:t>Potential harm, compliance, security, bias and business criticality</w:t>
            </w:r>
          </w:p>
        </w:tc>
      </w:tr>
      <w:tr>
        <w:tc>
          <w:tcPr>
            <w:tcW w:type="dxa" w:w="3312"/>
            <w:vAlign w:val="center"/>
          </w:tcPr>
          <w:p>
            <w:r/>
            <w:r>
              <w:rPr>
                <w:b w:val="0"/>
                <w:sz w:val="17"/>
              </w:rPr>
              <w:t>Time-to-value</w:t>
            </w:r>
          </w:p>
        </w:tc>
        <w:tc>
          <w:tcPr>
            <w:tcW w:type="dxa" w:w="3312"/>
            <w:vAlign w:val="center"/>
          </w:tcPr>
          <w:p>
            <w:r/>
            <w:r>
              <w:rPr>
                <w:b w:val="0"/>
                <w:sz w:val="17"/>
              </w:rPr>
              <w:t>10%</w:t>
            </w:r>
          </w:p>
        </w:tc>
        <w:tc>
          <w:tcPr>
            <w:tcW w:type="dxa" w:w="3312"/>
            <w:vAlign w:val="center"/>
          </w:tcPr>
          <w:p>
            <w:r/>
            <w:r>
              <w:rPr>
                <w:b w:val="0"/>
                <w:sz w:val="17"/>
              </w:rPr>
              <w:t>Expected time to a measurable result</w:t>
            </w:r>
          </w:p>
        </w:tc>
      </w:tr>
      <w:tr>
        <w:tc>
          <w:tcPr>
            <w:tcW w:type="dxa" w:w="3312"/>
            <w:vAlign w:val="center"/>
          </w:tcPr>
          <w:p>
            <w:r/>
            <w:r>
              <w:rPr>
                <w:b w:val="0"/>
                <w:sz w:val="17"/>
              </w:rPr>
              <w:t>Integration effort</w:t>
            </w:r>
          </w:p>
        </w:tc>
        <w:tc>
          <w:tcPr>
            <w:tcW w:type="dxa" w:w="3312"/>
            <w:vAlign w:val="center"/>
          </w:tcPr>
          <w:p>
            <w:r/>
            <w:r>
              <w:rPr>
                <w:b w:val="0"/>
                <w:sz w:val="17"/>
              </w:rPr>
              <w:t>10%</w:t>
            </w:r>
          </w:p>
        </w:tc>
        <w:tc>
          <w:tcPr>
            <w:tcW w:type="dxa" w:w="3312"/>
            <w:vAlign w:val="center"/>
          </w:tcPr>
          <w:p>
            <w:r/>
            <w:r>
              <w:rPr>
                <w:b w:val="0"/>
                <w:sz w:val="17"/>
              </w:rPr>
              <w:t>APIs, systems, identity, workflow and operational dependencies</w:t>
            </w:r>
          </w:p>
        </w:tc>
      </w:tr>
      <w:tr>
        <w:tc>
          <w:tcPr>
            <w:tcW w:type="dxa" w:w="3312"/>
            <w:vAlign w:val="center"/>
          </w:tcPr>
          <w:p>
            <w:r/>
            <w:r>
              <w:rPr>
                <w:b w:val="0"/>
                <w:sz w:val="17"/>
              </w:rPr>
              <w:t>Adoption readiness</w:t>
            </w:r>
          </w:p>
        </w:tc>
        <w:tc>
          <w:tcPr>
            <w:tcW w:type="dxa" w:w="3312"/>
            <w:vAlign w:val="center"/>
          </w:tcPr>
          <w:p>
            <w:r/>
            <w:r>
              <w:rPr>
                <w:b w:val="0"/>
                <w:sz w:val="17"/>
              </w:rPr>
              <w:t>5%</w:t>
            </w:r>
          </w:p>
        </w:tc>
        <w:tc>
          <w:tcPr>
            <w:tcW w:type="dxa" w:w="3312"/>
            <w:vAlign w:val="center"/>
          </w:tcPr>
          <w:p>
            <w:r/>
            <w:r>
              <w:rPr>
                <w:b w:val="0"/>
                <w:sz w:val="17"/>
              </w:rPr>
              <w:t>User willingness, training needs and process maturity</w:t>
            </w:r>
          </w:p>
        </w:tc>
      </w:tr>
    </w:tbl>
    <w:p/>
    <w:p>
      <w:pPr>
        <w:pStyle w:val="Heading1"/>
      </w:pPr>
      <w:r>
        <w:t>3. Target AI Operating Model</w:t>
      </w:r>
    </w:p>
    <w:p>
      <w:r>
        <w:t>The target model is a federated structure: a small central AI Operations and Governance function establishes standards, while business units own outcomes and domain-specific use cases.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Role</w:t>
            </w:r>
          </w:p>
        </w:tc>
        <w:tc>
          <w:tcPr>
            <w:tcW w:type="dxa" w:w="4968"/>
            <w:vAlign w:val="center"/>
            <w:shd w:fill="D9EAF7"/>
          </w:tcPr>
          <w:p>
            <w:r/>
            <w:r>
              <w:rPr>
                <w:b/>
                <w:sz w:val="18"/>
              </w:rPr>
              <w:t>Core responsibility</w:t>
            </w:r>
          </w:p>
        </w:tc>
      </w:tr>
      <w:tr>
        <w:tc>
          <w:tcPr>
            <w:tcW w:type="dxa" w:w="4968"/>
            <w:vAlign w:val="center"/>
          </w:tcPr>
          <w:p>
            <w:r/>
            <w:r>
              <w:rPr>
                <w:b w:val="0"/>
                <w:sz w:val="17"/>
              </w:rPr>
              <w:t>Executive Sponsor</w:t>
            </w:r>
          </w:p>
        </w:tc>
        <w:tc>
          <w:tcPr>
            <w:tcW w:type="dxa" w:w="4968"/>
            <w:vAlign w:val="center"/>
          </w:tcPr>
          <w:p>
            <w:r/>
            <w:r>
              <w:rPr>
                <w:b w:val="0"/>
                <w:sz w:val="17"/>
              </w:rPr>
              <w:t>Sets strategic direction, approves investment and resolves cross-functional barriers.</w:t>
            </w:r>
          </w:p>
        </w:tc>
      </w:tr>
      <w:tr>
        <w:tc>
          <w:tcPr>
            <w:tcW w:type="dxa" w:w="4968"/>
            <w:vAlign w:val="center"/>
          </w:tcPr>
          <w:p>
            <w:r/>
            <w:r>
              <w:rPr>
                <w:b w:val="0"/>
                <w:sz w:val="17"/>
              </w:rPr>
              <w:t>AI Operations Analyst</w:t>
            </w:r>
          </w:p>
        </w:tc>
        <w:tc>
          <w:tcPr>
            <w:tcW w:type="dxa" w:w="4968"/>
            <w:vAlign w:val="center"/>
          </w:tcPr>
          <w:p>
            <w:r/>
            <w:r>
              <w:rPr>
                <w:b w:val="0"/>
                <w:sz w:val="17"/>
              </w:rPr>
              <w:t>Maintains portfolio, business cases, roadmaps, metrics, risk registers and operational reporting.</w:t>
            </w:r>
          </w:p>
        </w:tc>
      </w:tr>
      <w:tr>
        <w:tc>
          <w:tcPr>
            <w:tcW w:type="dxa" w:w="4968"/>
            <w:vAlign w:val="center"/>
          </w:tcPr>
          <w:p>
            <w:r/>
            <w:r>
              <w:rPr>
                <w:b w:val="0"/>
                <w:sz w:val="17"/>
              </w:rPr>
              <w:t>AI Product / Use-Case Owner</w:t>
            </w:r>
          </w:p>
        </w:tc>
        <w:tc>
          <w:tcPr>
            <w:tcW w:type="dxa" w:w="4968"/>
            <w:vAlign w:val="center"/>
          </w:tcPr>
          <w:p>
            <w:r/>
            <w:r>
              <w:rPr>
                <w:b w:val="0"/>
                <w:sz w:val="17"/>
              </w:rPr>
              <w:t>Owns business outcome, workflow design, acceptance criteria and adoption.</w:t>
            </w:r>
          </w:p>
        </w:tc>
      </w:tr>
      <w:tr>
        <w:tc>
          <w:tcPr>
            <w:tcW w:type="dxa" w:w="4968"/>
            <w:vAlign w:val="center"/>
          </w:tcPr>
          <w:p>
            <w:r/>
            <w:r>
              <w:rPr>
                <w:b w:val="0"/>
                <w:sz w:val="17"/>
              </w:rPr>
              <w:t>Data / ML Team</w:t>
            </w:r>
          </w:p>
        </w:tc>
        <w:tc>
          <w:tcPr>
            <w:tcW w:type="dxa" w:w="4968"/>
            <w:vAlign w:val="center"/>
          </w:tcPr>
          <w:p>
            <w:r/>
            <w:r>
              <w:rPr>
                <w:b w:val="0"/>
                <w:sz w:val="17"/>
              </w:rPr>
              <w:t>Data preparation, model selection, evaluation, deployment and technical monitoring.</w:t>
            </w:r>
          </w:p>
        </w:tc>
      </w:tr>
      <w:tr>
        <w:tc>
          <w:tcPr>
            <w:tcW w:type="dxa" w:w="4968"/>
            <w:vAlign w:val="center"/>
          </w:tcPr>
          <w:p>
            <w:r/>
            <w:r>
              <w:rPr>
                <w:b w:val="0"/>
                <w:sz w:val="17"/>
              </w:rPr>
              <w:t>IT / Platform</w:t>
            </w:r>
          </w:p>
        </w:tc>
        <w:tc>
          <w:tcPr>
            <w:tcW w:type="dxa" w:w="4968"/>
            <w:vAlign w:val="center"/>
          </w:tcPr>
          <w:p>
            <w:r/>
            <w:r>
              <w:rPr>
                <w:b w:val="0"/>
                <w:sz w:val="17"/>
              </w:rPr>
              <w:t>Identity, integrations, environments, APIs, infrastructure and service reliability.</w:t>
            </w:r>
          </w:p>
        </w:tc>
      </w:tr>
      <w:tr>
        <w:tc>
          <w:tcPr>
            <w:tcW w:type="dxa" w:w="4968"/>
            <w:vAlign w:val="center"/>
          </w:tcPr>
          <w:p>
            <w:r/>
            <w:r>
              <w:rPr>
                <w:b w:val="0"/>
                <w:sz w:val="17"/>
              </w:rPr>
              <w:t>Cybersecurity</w:t>
            </w:r>
          </w:p>
        </w:tc>
        <w:tc>
          <w:tcPr>
            <w:tcW w:type="dxa" w:w="4968"/>
            <w:vAlign w:val="center"/>
          </w:tcPr>
          <w:p>
            <w:r/>
            <w:r>
              <w:rPr>
                <w:b w:val="0"/>
                <w:sz w:val="17"/>
              </w:rPr>
              <w:t>Threat modeling, access control, security testing, monitoring and incident response.</w:t>
            </w:r>
          </w:p>
        </w:tc>
      </w:tr>
      <w:tr>
        <w:tc>
          <w:tcPr>
            <w:tcW w:type="dxa" w:w="4968"/>
            <w:vAlign w:val="center"/>
          </w:tcPr>
          <w:p>
            <w:r/>
            <w:r>
              <w:rPr>
                <w:b w:val="0"/>
                <w:sz w:val="17"/>
              </w:rPr>
              <w:t>Legal / Compliance / Privacy</w:t>
            </w:r>
          </w:p>
        </w:tc>
        <w:tc>
          <w:tcPr>
            <w:tcW w:type="dxa" w:w="4968"/>
            <w:vAlign w:val="center"/>
          </w:tcPr>
          <w:p>
            <w:r/>
            <w:r>
              <w:rPr>
                <w:b w:val="0"/>
                <w:sz w:val="17"/>
              </w:rPr>
              <w:t>Regulatory assessment, contracts, privacy, records and high-impact use-case review.</w:t>
            </w:r>
          </w:p>
        </w:tc>
      </w:tr>
      <w:tr>
        <w:tc>
          <w:tcPr>
            <w:tcW w:type="dxa" w:w="4968"/>
            <w:vAlign w:val="center"/>
          </w:tcPr>
          <w:p>
            <w:r/>
            <w:r>
              <w:rPr>
                <w:b w:val="0"/>
                <w:sz w:val="17"/>
              </w:rPr>
              <w:t>Change &amp; Training Lead</w:t>
            </w:r>
          </w:p>
        </w:tc>
        <w:tc>
          <w:tcPr>
            <w:tcW w:type="dxa" w:w="4968"/>
            <w:vAlign w:val="center"/>
          </w:tcPr>
          <w:p>
            <w:r/>
            <w:r>
              <w:rPr>
                <w:b w:val="0"/>
                <w:sz w:val="17"/>
              </w:rPr>
              <w:t>Communications, training, adoption, feedback and process redesign.</w:t>
            </w:r>
          </w:p>
        </w:tc>
      </w:tr>
    </w:tbl>
    <w:p/>
    <w:p>
      <w:pPr>
        <w:pStyle w:val="Heading2"/>
      </w:pPr>
      <w:r>
        <w:t>AI Lifecycle Flow Chart</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
              <w:rPr>
                <w:b/>
                <w:sz w:val="20"/>
              </w:rPr>
              <w:t>1. Identify</w:t>
            </w:r>
          </w:p>
        </w:tc>
        <w:tc>
          <w:tcPr>
            <w:tcW w:type="dxa" w:w="4968"/>
            <w:vAlign w:val="center"/>
          </w:tcPr>
          <w:p>
            <w:r/>
            <w:r>
              <w:rPr>
                <w:b w:val="0"/>
                <w:sz w:val="18"/>
              </w:rPr>
              <w:t>Business problem / opportunity</w:t>
            </w:r>
          </w:p>
        </w:tc>
      </w:tr>
      <w:tr>
        <w:tc>
          <w:tcPr>
            <w:tcW w:type="dxa" w:w="4968"/>
            <w:vAlign w:val="center"/>
            <w:shd w:fill="FFFFFF"/>
          </w:tcPr>
          <w:p>
            <w:r/>
            <w:r>
              <w:rPr>
                <w:b/>
                <w:sz w:val="20"/>
              </w:rPr>
              <w:t>↓</w:t>
            </w:r>
          </w:p>
        </w:tc>
        <w:tc>
          <w:tcPr>
            <w:tcW w:type="dxa" w:w="4968"/>
            <w:vAlign w:val="center"/>
            <w:shd w:fill="FFFFFF"/>
          </w:tcPr>
          <w:p>
            <w:r/>
            <w:r>
              <w:rPr>
                <w:b w:val="0"/>
                <w:sz w:val="18"/>
              </w:rPr>
            </w:r>
          </w:p>
        </w:tc>
      </w:tr>
      <w:tr>
        <w:tc>
          <w:tcPr>
            <w:tcW w:type="dxa" w:w="4968"/>
            <w:vAlign w:val="center"/>
          </w:tcPr>
          <w:p>
            <w:r/>
            <w:r>
              <w:rPr>
                <w:b/>
                <w:sz w:val="20"/>
              </w:rPr>
              <w:t>2. Assess</w:t>
            </w:r>
          </w:p>
        </w:tc>
        <w:tc>
          <w:tcPr>
            <w:tcW w:type="dxa" w:w="4968"/>
            <w:vAlign w:val="center"/>
          </w:tcPr>
          <w:p>
            <w:r/>
            <w:r>
              <w:rPr>
                <w:b w:val="0"/>
                <w:sz w:val="18"/>
              </w:rPr>
              <w:t>Value + feasibility + data + risk</w:t>
            </w:r>
          </w:p>
        </w:tc>
      </w:tr>
      <w:tr>
        <w:tc>
          <w:tcPr>
            <w:tcW w:type="dxa" w:w="4968"/>
            <w:vAlign w:val="center"/>
            <w:shd w:fill="FFFFFF"/>
          </w:tcPr>
          <w:p>
            <w:r/>
            <w:r>
              <w:rPr>
                <w:b/>
                <w:sz w:val="20"/>
              </w:rPr>
              <w:t>↓</w:t>
            </w:r>
          </w:p>
        </w:tc>
        <w:tc>
          <w:tcPr>
            <w:tcW w:type="dxa" w:w="4968"/>
            <w:vAlign w:val="center"/>
            <w:shd w:fill="FFFFFF"/>
          </w:tcPr>
          <w:p>
            <w:r/>
            <w:r>
              <w:rPr>
                <w:b w:val="0"/>
                <w:sz w:val="18"/>
              </w:rPr>
            </w:r>
          </w:p>
        </w:tc>
      </w:tr>
      <w:tr>
        <w:tc>
          <w:tcPr>
            <w:tcW w:type="dxa" w:w="4968"/>
            <w:vAlign w:val="center"/>
          </w:tcPr>
          <w:p>
            <w:r/>
            <w:r>
              <w:rPr>
                <w:b/>
                <w:sz w:val="20"/>
              </w:rPr>
              <w:t>3. Approve</w:t>
            </w:r>
          </w:p>
        </w:tc>
        <w:tc>
          <w:tcPr>
            <w:tcW w:type="dxa" w:w="4968"/>
            <w:vAlign w:val="center"/>
          </w:tcPr>
          <w:p>
            <w:r/>
            <w:r>
              <w:rPr>
                <w:b w:val="0"/>
                <w:sz w:val="18"/>
              </w:rPr>
              <w:t>Governance decision + owner + controls</w:t>
            </w:r>
          </w:p>
        </w:tc>
      </w:tr>
      <w:tr>
        <w:tc>
          <w:tcPr>
            <w:tcW w:type="dxa" w:w="4968"/>
            <w:vAlign w:val="center"/>
            <w:shd w:fill="FFFFFF"/>
          </w:tcPr>
          <w:p>
            <w:r/>
            <w:r>
              <w:rPr>
                <w:b/>
                <w:sz w:val="20"/>
              </w:rPr>
              <w:t>↓</w:t>
            </w:r>
          </w:p>
        </w:tc>
        <w:tc>
          <w:tcPr>
            <w:tcW w:type="dxa" w:w="4968"/>
            <w:vAlign w:val="center"/>
            <w:shd w:fill="FFFFFF"/>
          </w:tcPr>
          <w:p>
            <w:r/>
            <w:r>
              <w:rPr>
                <w:b w:val="0"/>
                <w:sz w:val="18"/>
              </w:rPr>
            </w:r>
          </w:p>
        </w:tc>
      </w:tr>
      <w:tr>
        <w:tc>
          <w:tcPr>
            <w:tcW w:type="dxa" w:w="4968"/>
            <w:vAlign w:val="center"/>
          </w:tcPr>
          <w:p>
            <w:r/>
            <w:r>
              <w:rPr>
                <w:b/>
                <w:sz w:val="20"/>
              </w:rPr>
              <w:t>4. Pilot</w:t>
            </w:r>
          </w:p>
        </w:tc>
        <w:tc>
          <w:tcPr>
            <w:tcW w:type="dxa" w:w="4968"/>
            <w:vAlign w:val="center"/>
          </w:tcPr>
          <w:p>
            <w:r/>
            <w:r>
              <w:rPr>
                <w:b w:val="0"/>
                <w:sz w:val="18"/>
              </w:rPr>
              <w:t>Limited users + measurable acceptance criteria</w:t>
            </w:r>
          </w:p>
        </w:tc>
      </w:tr>
      <w:tr>
        <w:tc>
          <w:tcPr>
            <w:tcW w:type="dxa" w:w="4968"/>
            <w:vAlign w:val="center"/>
            <w:shd w:fill="FFFFFF"/>
          </w:tcPr>
          <w:p>
            <w:r/>
            <w:r>
              <w:rPr>
                <w:b/>
                <w:sz w:val="20"/>
              </w:rPr>
              <w:t>↓</w:t>
            </w:r>
          </w:p>
        </w:tc>
        <w:tc>
          <w:tcPr>
            <w:tcW w:type="dxa" w:w="4968"/>
            <w:vAlign w:val="center"/>
            <w:shd w:fill="FFFFFF"/>
          </w:tcPr>
          <w:p>
            <w:r/>
            <w:r>
              <w:rPr>
                <w:b w:val="0"/>
                <w:sz w:val="18"/>
              </w:rPr>
            </w:r>
          </w:p>
        </w:tc>
      </w:tr>
      <w:tr>
        <w:tc>
          <w:tcPr>
            <w:tcW w:type="dxa" w:w="4968"/>
            <w:vAlign w:val="center"/>
          </w:tcPr>
          <w:p>
            <w:r/>
            <w:r>
              <w:rPr>
                <w:b/>
                <w:sz w:val="20"/>
              </w:rPr>
              <w:t>5. Validate</w:t>
            </w:r>
          </w:p>
        </w:tc>
        <w:tc>
          <w:tcPr>
            <w:tcW w:type="dxa" w:w="4968"/>
            <w:vAlign w:val="center"/>
          </w:tcPr>
          <w:p>
            <w:r/>
            <w:r>
              <w:rPr>
                <w:b w:val="0"/>
                <w:sz w:val="18"/>
              </w:rPr>
              <w:t>Quality + safety + security + economics</w:t>
            </w:r>
          </w:p>
        </w:tc>
      </w:tr>
      <w:tr>
        <w:tc>
          <w:tcPr>
            <w:tcW w:type="dxa" w:w="4968"/>
            <w:vAlign w:val="center"/>
            <w:shd w:fill="FFFFFF"/>
          </w:tcPr>
          <w:p>
            <w:r/>
            <w:r>
              <w:rPr>
                <w:b/>
                <w:sz w:val="20"/>
              </w:rPr>
              <w:t>↓</w:t>
            </w:r>
          </w:p>
        </w:tc>
        <w:tc>
          <w:tcPr>
            <w:tcW w:type="dxa" w:w="4968"/>
            <w:vAlign w:val="center"/>
            <w:shd w:fill="FFFFFF"/>
          </w:tcPr>
          <w:p>
            <w:r/>
            <w:r>
              <w:rPr>
                <w:b w:val="0"/>
                <w:sz w:val="18"/>
              </w:rPr>
            </w:r>
          </w:p>
        </w:tc>
      </w:tr>
      <w:tr>
        <w:tc>
          <w:tcPr>
            <w:tcW w:type="dxa" w:w="4968"/>
            <w:vAlign w:val="center"/>
          </w:tcPr>
          <w:p>
            <w:r/>
            <w:r>
              <w:rPr>
                <w:b/>
                <w:sz w:val="20"/>
              </w:rPr>
              <w:t>6. Deploy</w:t>
            </w:r>
          </w:p>
        </w:tc>
        <w:tc>
          <w:tcPr>
            <w:tcW w:type="dxa" w:w="4968"/>
            <w:vAlign w:val="center"/>
          </w:tcPr>
          <w:p>
            <w:r/>
            <w:r>
              <w:rPr>
                <w:b w:val="0"/>
                <w:sz w:val="18"/>
              </w:rPr>
              <w:t>Production controls + training + monitoring</w:t>
            </w:r>
          </w:p>
        </w:tc>
      </w:tr>
      <w:tr>
        <w:tc>
          <w:tcPr>
            <w:tcW w:type="dxa" w:w="4968"/>
            <w:vAlign w:val="center"/>
            <w:shd w:fill="FFFFFF"/>
          </w:tcPr>
          <w:p>
            <w:r/>
            <w:r>
              <w:rPr>
                <w:b/>
                <w:sz w:val="20"/>
              </w:rPr>
              <w:t>↓</w:t>
            </w:r>
          </w:p>
        </w:tc>
        <w:tc>
          <w:tcPr>
            <w:tcW w:type="dxa" w:w="4968"/>
            <w:vAlign w:val="center"/>
            <w:shd w:fill="FFFFFF"/>
          </w:tcPr>
          <w:p>
            <w:r/>
            <w:r>
              <w:rPr>
                <w:b w:val="0"/>
                <w:sz w:val="18"/>
              </w:rPr>
            </w:r>
          </w:p>
        </w:tc>
      </w:tr>
      <w:tr>
        <w:tc>
          <w:tcPr>
            <w:tcW w:type="dxa" w:w="4968"/>
            <w:vAlign w:val="center"/>
          </w:tcPr>
          <w:p>
            <w:r/>
            <w:r>
              <w:rPr>
                <w:b/>
                <w:sz w:val="20"/>
              </w:rPr>
              <w:t>7. Improve</w:t>
            </w:r>
          </w:p>
        </w:tc>
        <w:tc>
          <w:tcPr>
            <w:tcW w:type="dxa" w:w="4968"/>
            <w:vAlign w:val="center"/>
          </w:tcPr>
          <w:p>
            <w:r/>
            <w:r>
              <w:rPr>
                <w:b w:val="0"/>
                <w:sz w:val="18"/>
              </w:rPr>
              <w:t>Feedback + incidents + KPI review + re-evaluation</w:t>
            </w:r>
          </w:p>
        </w:tc>
      </w:tr>
    </w:tbl>
    <w:p/>
    <w:p>
      <w:pPr>
        <w:pStyle w:val="Heading1"/>
      </w:pPr>
      <w:r>
        <w:t>4. Technology Assessment Strategy</w:t>
      </w:r>
    </w:p>
    <w:p>
      <w:r>
        <w:t>Technology should be selected after the use case and control requirements are understood. The analyst should compare solution options against a common scorecard rather than choosing a model solely on benchmark performance.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Assessment area</w:t>
            </w:r>
          </w:p>
        </w:tc>
        <w:tc>
          <w:tcPr>
            <w:tcW w:type="dxa" w:w="3312"/>
            <w:vAlign w:val="center"/>
            <w:shd w:fill="D9EAF7"/>
          </w:tcPr>
          <w:p>
            <w:r/>
            <w:r>
              <w:rPr>
                <w:b/>
                <w:sz w:val="18"/>
              </w:rPr>
              <w:t>Questions to answer</w:t>
            </w:r>
          </w:p>
        </w:tc>
        <w:tc>
          <w:tcPr>
            <w:tcW w:type="dxa" w:w="3312"/>
            <w:vAlign w:val="center"/>
            <w:shd w:fill="D9EAF7"/>
          </w:tcPr>
          <w:p>
            <w:r/>
            <w:r>
              <w:rPr>
                <w:b/>
                <w:sz w:val="18"/>
              </w:rPr>
              <w:t>Evidence required</w:t>
            </w:r>
          </w:p>
        </w:tc>
      </w:tr>
      <w:tr>
        <w:tc>
          <w:tcPr>
            <w:tcW w:type="dxa" w:w="3312"/>
            <w:vAlign w:val="center"/>
          </w:tcPr>
          <w:p>
            <w:r/>
            <w:r>
              <w:rPr>
                <w:b w:val="0"/>
                <w:sz w:val="17"/>
              </w:rPr>
              <w:t>Model capability</w:t>
            </w:r>
          </w:p>
        </w:tc>
        <w:tc>
          <w:tcPr>
            <w:tcW w:type="dxa" w:w="3312"/>
            <w:vAlign w:val="center"/>
          </w:tcPr>
          <w:p>
            <w:r/>
            <w:r>
              <w:rPr>
                <w:b w:val="0"/>
                <w:sz w:val="17"/>
              </w:rPr>
              <w:t>Does the model meet accuracy, reasoning, language and domain needs?</w:t>
            </w:r>
          </w:p>
        </w:tc>
        <w:tc>
          <w:tcPr>
            <w:tcW w:type="dxa" w:w="3312"/>
            <w:vAlign w:val="center"/>
          </w:tcPr>
          <w:p>
            <w:r/>
            <w:r>
              <w:rPr>
                <w:b w:val="0"/>
                <w:sz w:val="17"/>
              </w:rPr>
              <w:t>Evaluation dataset; test results</w:t>
            </w:r>
          </w:p>
        </w:tc>
      </w:tr>
      <w:tr>
        <w:tc>
          <w:tcPr>
            <w:tcW w:type="dxa" w:w="3312"/>
            <w:vAlign w:val="center"/>
          </w:tcPr>
          <w:p>
            <w:r/>
            <w:r>
              <w:rPr>
                <w:b w:val="0"/>
                <w:sz w:val="17"/>
              </w:rPr>
              <w:t>Data compatibility</w:t>
            </w:r>
          </w:p>
        </w:tc>
        <w:tc>
          <w:tcPr>
            <w:tcW w:type="dxa" w:w="3312"/>
            <w:vAlign w:val="center"/>
          </w:tcPr>
          <w:p>
            <w:r/>
            <w:r>
              <w:rPr>
                <w:b w:val="0"/>
                <w:sz w:val="17"/>
              </w:rPr>
              <w:t>Can approved data be connected without violating permissions?</w:t>
            </w:r>
          </w:p>
        </w:tc>
        <w:tc>
          <w:tcPr>
            <w:tcW w:type="dxa" w:w="3312"/>
            <w:vAlign w:val="center"/>
          </w:tcPr>
          <w:p>
            <w:r/>
            <w:r>
              <w:rPr>
                <w:b w:val="0"/>
                <w:sz w:val="17"/>
              </w:rPr>
              <w:t>Data map; access review</w:t>
            </w:r>
          </w:p>
        </w:tc>
      </w:tr>
      <w:tr>
        <w:tc>
          <w:tcPr>
            <w:tcW w:type="dxa" w:w="3312"/>
            <w:vAlign w:val="center"/>
          </w:tcPr>
          <w:p>
            <w:r/>
            <w:r>
              <w:rPr>
                <w:b w:val="0"/>
                <w:sz w:val="17"/>
              </w:rPr>
              <w:t>Security</w:t>
            </w:r>
          </w:p>
        </w:tc>
        <w:tc>
          <w:tcPr>
            <w:tcW w:type="dxa" w:w="3312"/>
            <w:vAlign w:val="center"/>
          </w:tcPr>
          <w:p>
            <w:r/>
            <w:r>
              <w:rPr>
                <w:b w:val="0"/>
                <w:sz w:val="17"/>
              </w:rPr>
              <w:t>Can identity, access, secrets and data isolation be controlled?</w:t>
            </w:r>
          </w:p>
        </w:tc>
        <w:tc>
          <w:tcPr>
            <w:tcW w:type="dxa" w:w="3312"/>
            <w:vAlign w:val="center"/>
          </w:tcPr>
          <w:p>
            <w:r/>
            <w:r>
              <w:rPr>
                <w:b w:val="0"/>
                <w:sz w:val="17"/>
              </w:rPr>
              <w:t>Security assessment; threat model</w:t>
            </w:r>
          </w:p>
        </w:tc>
      </w:tr>
      <w:tr>
        <w:tc>
          <w:tcPr>
            <w:tcW w:type="dxa" w:w="3312"/>
            <w:vAlign w:val="center"/>
          </w:tcPr>
          <w:p>
            <w:r/>
            <w:r>
              <w:rPr>
                <w:b w:val="0"/>
                <w:sz w:val="17"/>
              </w:rPr>
              <w:t>Reliability</w:t>
            </w:r>
          </w:p>
        </w:tc>
        <w:tc>
          <w:tcPr>
            <w:tcW w:type="dxa" w:w="3312"/>
            <w:vAlign w:val="center"/>
          </w:tcPr>
          <w:p>
            <w:r/>
            <w:r>
              <w:rPr>
                <w:b w:val="0"/>
                <w:sz w:val="17"/>
              </w:rPr>
              <w:t>What happens during model errors, outages or degraded performance?</w:t>
            </w:r>
          </w:p>
        </w:tc>
        <w:tc>
          <w:tcPr>
            <w:tcW w:type="dxa" w:w="3312"/>
            <w:vAlign w:val="center"/>
          </w:tcPr>
          <w:p>
            <w:r/>
            <w:r>
              <w:rPr>
                <w:b w:val="0"/>
                <w:sz w:val="17"/>
              </w:rPr>
              <w:t>Fallback plan; SLA/SLO</w:t>
            </w:r>
          </w:p>
        </w:tc>
      </w:tr>
      <w:tr>
        <w:tc>
          <w:tcPr>
            <w:tcW w:type="dxa" w:w="3312"/>
            <w:vAlign w:val="center"/>
          </w:tcPr>
          <w:p>
            <w:r/>
            <w:r>
              <w:rPr>
                <w:b w:val="0"/>
                <w:sz w:val="17"/>
              </w:rPr>
              <w:t>Privacy</w:t>
            </w:r>
          </w:p>
        </w:tc>
        <w:tc>
          <w:tcPr>
            <w:tcW w:type="dxa" w:w="3312"/>
            <w:vAlign w:val="center"/>
          </w:tcPr>
          <w:p>
            <w:r/>
            <w:r>
              <w:rPr>
                <w:b w:val="0"/>
                <w:sz w:val="17"/>
              </w:rPr>
              <w:t>What personal or confidential data is processed and retained?</w:t>
            </w:r>
          </w:p>
        </w:tc>
        <w:tc>
          <w:tcPr>
            <w:tcW w:type="dxa" w:w="3312"/>
            <w:vAlign w:val="center"/>
          </w:tcPr>
          <w:p>
            <w:r/>
            <w:r>
              <w:rPr>
                <w:b w:val="0"/>
                <w:sz w:val="17"/>
              </w:rPr>
              <w:t>Privacy impact assessment</w:t>
            </w:r>
          </w:p>
        </w:tc>
      </w:tr>
      <w:tr>
        <w:tc>
          <w:tcPr>
            <w:tcW w:type="dxa" w:w="3312"/>
            <w:vAlign w:val="center"/>
          </w:tcPr>
          <w:p>
            <w:r/>
            <w:r>
              <w:rPr>
                <w:b w:val="0"/>
                <w:sz w:val="17"/>
              </w:rPr>
              <w:t>Explainability / traceability</w:t>
            </w:r>
          </w:p>
        </w:tc>
        <w:tc>
          <w:tcPr>
            <w:tcW w:type="dxa" w:w="3312"/>
            <w:vAlign w:val="center"/>
          </w:tcPr>
          <w:p>
            <w:r/>
            <w:r>
              <w:rPr>
                <w:b w:val="0"/>
                <w:sz w:val="17"/>
              </w:rPr>
              <w:t>Can important outputs be traced to inputs, prompts, sources or decisions?</w:t>
            </w:r>
          </w:p>
        </w:tc>
        <w:tc>
          <w:tcPr>
            <w:tcW w:type="dxa" w:w="3312"/>
            <w:vAlign w:val="center"/>
          </w:tcPr>
          <w:p>
            <w:r/>
            <w:r>
              <w:rPr>
                <w:b w:val="0"/>
                <w:sz w:val="17"/>
              </w:rPr>
              <w:t>Logs; citations; audit records</w:t>
            </w:r>
          </w:p>
        </w:tc>
      </w:tr>
      <w:tr>
        <w:tc>
          <w:tcPr>
            <w:tcW w:type="dxa" w:w="3312"/>
            <w:vAlign w:val="center"/>
          </w:tcPr>
          <w:p>
            <w:r/>
            <w:r>
              <w:rPr>
                <w:b w:val="0"/>
                <w:sz w:val="17"/>
              </w:rPr>
              <w:t>Integration</w:t>
            </w:r>
          </w:p>
        </w:tc>
        <w:tc>
          <w:tcPr>
            <w:tcW w:type="dxa" w:w="3312"/>
            <w:vAlign w:val="center"/>
          </w:tcPr>
          <w:p>
            <w:r/>
            <w:r>
              <w:rPr>
                <w:b w:val="0"/>
                <w:sz w:val="17"/>
              </w:rPr>
              <w:t>Can the solution connect to existing workflows and systems?</w:t>
            </w:r>
          </w:p>
        </w:tc>
        <w:tc>
          <w:tcPr>
            <w:tcW w:type="dxa" w:w="3312"/>
            <w:vAlign w:val="center"/>
          </w:tcPr>
          <w:p>
            <w:r/>
            <w:r>
              <w:rPr>
                <w:b w:val="0"/>
                <w:sz w:val="17"/>
              </w:rPr>
              <w:t>API/integration design</w:t>
            </w:r>
          </w:p>
        </w:tc>
      </w:tr>
      <w:tr>
        <w:tc>
          <w:tcPr>
            <w:tcW w:type="dxa" w:w="3312"/>
            <w:vAlign w:val="center"/>
          </w:tcPr>
          <w:p>
            <w:r/>
            <w:r>
              <w:rPr>
                <w:b w:val="0"/>
                <w:sz w:val="17"/>
              </w:rPr>
              <w:t>Cost</w:t>
            </w:r>
          </w:p>
        </w:tc>
        <w:tc>
          <w:tcPr>
            <w:tcW w:type="dxa" w:w="3312"/>
            <w:vAlign w:val="center"/>
          </w:tcPr>
          <w:p>
            <w:r/>
            <w:r>
              <w:rPr>
                <w:b w:val="0"/>
                <w:sz w:val="17"/>
              </w:rPr>
              <w:t>What are licensing, inference, integration, monitoring and support costs?</w:t>
            </w:r>
          </w:p>
        </w:tc>
        <w:tc>
          <w:tcPr>
            <w:tcW w:type="dxa" w:w="3312"/>
            <w:vAlign w:val="center"/>
          </w:tcPr>
          <w:p>
            <w:r/>
            <w:r>
              <w:rPr>
                <w:b w:val="0"/>
                <w:sz w:val="17"/>
              </w:rPr>
              <w:t>TCO model</w:t>
            </w:r>
          </w:p>
        </w:tc>
      </w:tr>
      <w:tr>
        <w:tc>
          <w:tcPr>
            <w:tcW w:type="dxa" w:w="3312"/>
            <w:vAlign w:val="center"/>
          </w:tcPr>
          <w:p>
            <w:r/>
            <w:r>
              <w:rPr>
                <w:b w:val="0"/>
                <w:sz w:val="17"/>
              </w:rPr>
              <w:t>Vendor risk</w:t>
            </w:r>
          </w:p>
        </w:tc>
        <w:tc>
          <w:tcPr>
            <w:tcW w:type="dxa" w:w="3312"/>
            <w:vAlign w:val="center"/>
          </w:tcPr>
          <w:p>
            <w:r/>
            <w:r>
              <w:rPr>
                <w:b w:val="0"/>
                <w:sz w:val="17"/>
              </w:rPr>
              <w:t>What happens to data, models and service availability if the vendor changes?</w:t>
            </w:r>
          </w:p>
        </w:tc>
        <w:tc>
          <w:tcPr>
            <w:tcW w:type="dxa" w:w="3312"/>
            <w:vAlign w:val="center"/>
          </w:tcPr>
          <w:p>
            <w:r/>
            <w:r>
              <w:rPr>
                <w:b w:val="0"/>
                <w:sz w:val="17"/>
              </w:rPr>
              <w:t>Contract and exit assessment</w:t>
            </w:r>
          </w:p>
        </w:tc>
      </w:tr>
      <w:tr>
        <w:tc>
          <w:tcPr>
            <w:tcW w:type="dxa" w:w="3312"/>
            <w:vAlign w:val="center"/>
          </w:tcPr>
          <w:p>
            <w:r/>
            <w:r>
              <w:rPr>
                <w:b w:val="0"/>
                <w:sz w:val="17"/>
              </w:rPr>
              <w:t>Operational maturity</w:t>
            </w:r>
          </w:p>
        </w:tc>
        <w:tc>
          <w:tcPr>
            <w:tcW w:type="dxa" w:w="3312"/>
            <w:vAlign w:val="center"/>
          </w:tcPr>
          <w:p>
            <w:r/>
            <w:r>
              <w:rPr>
                <w:b w:val="0"/>
                <w:sz w:val="17"/>
              </w:rPr>
              <w:t>Can the organization monitor, support and improve the solution?</w:t>
            </w:r>
          </w:p>
        </w:tc>
        <w:tc>
          <w:tcPr>
            <w:tcW w:type="dxa" w:w="3312"/>
            <w:vAlign w:val="center"/>
          </w:tcPr>
          <w:p>
            <w:r/>
            <w:r>
              <w:rPr>
                <w:b w:val="0"/>
                <w:sz w:val="17"/>
              </w:rPr>
              <w:t>Runbook; ownership matrix</w:t>
            </w:r>
          </w:p>
        </w:tc>
      </w:tr>
    </w:tbl>
    <w:p/>
    <w:p>
      <w:pPr>
        <w:pStyle w:val="Heading1"/>
      </w:pPr>
      <w:r>
        <w:t>5. Resource Planning and Capacity Model</w:t>
      </w:r>
    </w:p>
    <w:p>
      <w:r>
        <w:t>A practical initial program can begin with a lean core team and scale as the portfolio grows. The figures below are planning assumptions for the simulation, not fixed staffing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Capability</w:t>
            </w:r>
          </w:p>
        </w:tc>
        <w:tc>
          <w:tcPr>
            <w:tcW w:type="dxa" w:w="3312"/>
            <w:vAlign w:val="center"/>
            <w:shd w:fill="D9EAF7"/>
          </w:tcPr>
          <w:p>
            <w:r/>
            <w:r>
              <w:rPr>
                <w:b/>
                <w:sz w:val="18"/>
              </w:rPr>
              <w:t>Initial capacity</w:t>
            </w:r>
          </w:p>
        </w:tc>
        <w:tc>
          <w:tcPr>
            <w:tcW w:type="dxa" w:w="3312"/>
            <w:vAlign w:val="center"/>
            <w:shd w:fill="D9EAF7"/>
          </w:tcPr>
          <w:p>
            <w:r/>
            <w:r>
              <w:rPr>
                <w:b/>
                <w:sz w:val="18"/>
              </w:rPr>
              <w:t>Key outputs</w:t>
            </w:r>
          </w:p>
        </w:tc>
      </w:tr>
      <w:tr>
        <w:tc>
          <w:tcPr>
            <w:tcW w:type="dxa" w:w="3312"/>
            <w:vAlign w:val="center"/>
          </w:tcPr>
          <w:p>
            <w:r/>
            <w:r>
              <w:rPr>
                <w:b w:val="0"/>
                <w:sz w:val="17"/>
              </w:rPr>
              <w:t>AI Operations / PMO</w:t>
            </w:r>
          </w:p>
        </w:tc>
        <w:tc>
          <w:tcPr>
            <w:tcW w:type="dxa" w:w="3312"/>
            <w:vAlign w:val="center"/>
          </w:tcPr>
          <w:p>
            <w:r/>
            <w:r>
              <w:rPr>
                <w:b w:val="0"/>
                <w:sz w:val="17"/>
              </w:rPr>
              <w:t>1–2 FTE</w:t>
            </w:r>
          </w:p>
        </w:tc>
        <w:tc>
          <w:tcPr>
            <w:tcW w:type="dxa" w:w="3312"/>
            <w:vAlign w:val="center"/>
          </w:tcPr>
          <w:p>
            <w:r/>
            <w:r>
              <w:rPr>
                <w:b w:val="0"/>
                <w:sz w:val="17"/>
              </w:rPr>
              <w:t>Portfolio, roadmap, governance, reporting</w:t>
            </w:r>
          </w:p>
        </w:tc>
      </w:tr>
      <w:tr>
        <w:tc>
          <w:tcPr>
            <w:tcW w:type="dxa" w:w="3312"/>
            <w:vAlign w:val="center"/>
          </w:tcPr>
          <w:p>
            <w:r/>
            <w:r>
              <w:rPr>
                <w:b w:val="0"/>
                <w:sz w:val="17"/>
              </w:rPr>
              <w:t>AI/ML engineering</w:t>
            </w:r>
          </w:p>
        </w:tc>
        <w:tc>
          <w:tcPr>
            <w:tcW w:type="dxa" w:w="3312"/>
            <w:vAlign w:val="center"/>
          </w:tcPr>
          <w:p>
            <w:r/>
            <w:r>
              <w:rPr>
                <w:b w:val="0"/>
                <w:sz w:val="17"/>
              </w:rPr>
              <w:t>2–4 FTE</w:t>
            </w:r>
          </w:p>
        </w:tc>
        <w:tc>
          <w:tcPr>
            <w:tcW w:type="dxa" w:w="3312"/>
            <w:vAlign w:val="center"/>
          </w:tcPr>
          <w:p>
            <w:r/>
            <w:r>
              <w:rPr>
                <w:b w:val="0"/>
                <w:sz w:val="17"/>
              </w:rPr>
              <w:t>Evaluation, integrations, deployment</w:t>
            </w:r>
          </w:p>
        </w:tc>
      </w:tr>
      <w:tr>
        <w:tc>
          <w:tcPr>
            <w:tcW w:type="dxa" w:w="3312"/>
            <w:vAlign w:val="center"/>
          </w:tcPr>
          <w:p>
            <w:r/>
            <w:r>
              <w:rPr>
                <w:b w:val="0"/>
                <w:sz w:val="17"/>
              </w:rPr>
              <w:t>Data engineering / analytics</w:t>
            </w:r>
          </w:p>
        </w:tc>
        <w:tc>
          <w:tcPr>
            <w:tcW w:type="dxa" w:w="3312"/>
            <w:vAlign w:val="center"/>
          </w:tcPr>
          <w:p>
            <w:r/>
            <w:r>
              <w:rPr>
                <w:b w:val="0"/>
                <w:sz w:val="17"/>
              </w:rPr>
              <w:t>1–3 FTE</w:t>
            </w:r>
          </w:p>
        </w:tc>
        <w:tc>
          <w:tcPr>
            <w:tcW w:type="dxa" w:w="3312"/>
            <w:vAlign w:val="center"/>
          </w:tcPr>
          <w:p>
            <w:r/>
            <w:r>
              <w:rPr>
                <w:b w:val="0"/>
                <w:sz w:val="17"/>
              </w:rPr>
              <w:t>Data pipelines, quality, metrics</w:t>
            </w:r>
          </w:p>
        </w:tc>
      </w:tr>
      <w:tr>
        <w:tc>
          <w:tcPr>
            <w:tcW w:type="dxa" w:w="3312"/>
            <w:vAlign w:val="center"/>
          </w:tcPr>
          <w:p>
            <w:r/>
            <w:r>
              <w:rPr>
                <w:b w:val="0"/>
                <w:sz w:val="17"/>
              </w:rPr>
              <w:t>Cybersecurity</w:t>
            </w:r>
          </w:p>
        </w:tc>
        <w:tc>
          <w:tcPr>
            <w:tcW w:type="dxa" w:w="3312"/>
            <w:vAlign w:val="center"/>
          </w:tcPr>
          <w:p>
            <w:r/>
            <w:r>
              <w:rPr>
                <w:b w:val="0"/>
                <w:sz w:val="17"/>
              </w:rPr>
              <w:t>0.5–1 FTE shared</w:t>
            </w:r>
          </w:p>
        </w:tc>
        <w:tc>
          <w:tcPr>
            <w:tcW w:type="dxa" w:w="3312"/>
            <w:vAlign w:val="center"/>
          </w:tcPr>
          <w:p>
            <w:r/>
            <w:r>
              <w:rPr>
                <w:b w:val="0"/>
                <w:sz w:val="17"/>
              </w:rPr>
              <w:t>Threat model, access, security testing</w:t>
            </w:r>
          </w:p>
        </w:tc>
      </w:tr>
      <w:tr>
        <w:tc>
          <w:tcPr>
            <w:tcW w:type="dxa" w:w="3312"/>
            <w:vAlign w:val="center"/>
          </w:tcPr>
          <w:p>
            <w:r/>
            <w:r>
              <w:rPr>
                <w:b w:val="0"/>
                <w:sz w:val="17"/>
              </w:rPr>
              <w:t>Legal / privacy / compliance</w:t>
            </w:r>
          </w:p>
        </w:tc>
        <w:tc>
          <w:tcPr>
            <w:tcW w:type="dxa" w:w="3312"/>
            <w:vAlign w:val="center"/>
          </w:tcPr>
          <w:p>
            <w:r/>
            <w:r>
              <w:rPr>
                <w:b w:val="0"/>
                <w:sz w:val="17"/>
              </w:rPr>
              <w:t>0.25–1 FTE shared</w:t>
            </w:r>
          </w:p>
        </w:tc>
        <w:tc>
          <w:tcPr>
            <w:tcW w:type="dxa" w:w="3312"/>
            <w:vAlign w:val="center"/>
          </w:tcPr>
          <w:p>
            <w:r/>
            <w:r>
              <w:rPr>
                <w:b w:val="0"/>
                <w:sz w:val="17"/>
              </w:rPr>
              <w:t>Risk review, contracts, regulatory mapping</w:t>
            </w:r>
          </w:p>
        </w:tc>
      </w:tr>
      <w:tr>
        <w:tc>
          <w:tcPr>
            <w:tcW w:type="dxa" w:w="3312"/>
            <w:vAlign w:val="center"/>
          </w:tcPr>
          <w:p>
            <w:r/>
            <w:r>
              <w:rPr>
                <w:b w:val="0"/>
                <w:sz w:val="17"/>
              </w:rPr>
              <w:t>Business SMEs</w:t>
            </w:r>
          </w:p>
        </w:tc>
        <w:tc>
          <w:tcPr>
            <w:tcW w:type="dxa" w:w="3312"/>
            <w:vAlign w:val="center"/>
          </w:tcPr>
          <w:p>
            <w:r/>
            <w:r>
              <w:rPr>
                <w:b w:val="0"/>
                <w:sz w:val="17"/>
              </w:rPr>
              <w:t>Part-time per use case</w:t>
            </w:r>
          </w:p>
        </w:tc>
        <w:tc>
          <w:tcPr>
            <w:tcW w:type="dxa" w:w="3312"/>
            <w:vAlign w:val="center"/>
          </w:tcPr>
          <w:p>
            <w:r/>
            <w:r>
              <w:rPr>
                <w:b w:val="0"/>
                <w:sz w:val="17"/>
              </w:rPr>
              <w:t>Requirements, testing, process ownership</w:t>
            </w:r>
          </w:p>
        </w:tc>
      </w:tr>
      <w:tr>
        <w:tc>
          <w:tcPr>
            <w:tcW w:type="dxa" w:w="3312"/>
            <w:vAlign w:val="center"/>
          </w:tcPr>
          <w:p>
            <w:r/>
            <w:r>
              <w:rPr>
                <w:b w:val="0"/>
                <w:sz w:val="17"/>
              </w:rPr>
              <w:t>Change / training</w:t>
            </w:r>
          </w:p>
        </w:tc>
        <w:tc>
          <w:tcPr>
            <w:tcW w:type="dxa" w:w="3312"/>
            <w:vAlign w:val="center"/>
          </w:tcPr>
          <w:p>
            <w:r/>
            <w:r>
              <w:rPr>
                <w:b w:val="0"/>
                <w:sz w:val="17"/>
              </w:rPr>
              <w:t>0.5–1 FTE</w:t>
            </w:r>
          </w:p>
        </w:tc>
        <w:tc>
          <w:tcPr>
            <w:tcW w:type="dxa" w:w="3312"/>
            <w:vAlign w:val="center"/>
          </w:tcPr>
          <w:p>
            <w:r/>
            <w:r>
              <w:rPr>
                <w:b w:val="0"/>
                <w:sz w:val="17"/>
              </w:rPr>
              <w:t>Training, adoption, communications</w:t>
            </w:r>
          </w:p>
        </w:tc>
      </w:tr>
    </w:tbl>
    <w:p/>
    <w:p>
      <w:r>
        <w:t>Budget categories should include platform/model costs, data and integration work, security and governance, testing/evaluation, training/change management, monitoring/observability, vendor support and contingency.</w:t>
      </w:r>
    </w:p>
    <w:p>
      <w:pPr>
        <w:pStyle w:val="Heading1"/>
      </w:pPr>
      <w:r>
        <w:t>6. Implementation Roadmap and Timeline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b/>
                <w:sz w:val="18"/>
              </w:rPr>
              <w:t>Phase</w:t>
            </w:r>
          </w:p>
        </w:tc>
        <w:tc>
          <w:tcPr>
            <w:tcW w:type="dxa" w:w="2484"/>
            <w:vAlign w:val="center"/>
            <w:shd w:fill="D9EAF7"/>
          </w:tcPr>
          <w:p>
            <w:r/>
            <w:r>
              <w:rPr>
                <w:b/>
                <w:sz w:val="18"/>
              </w:rPr>
              <w:t>Timing</w:t>
            </w:r>
          </w:p>
        </w:tc>
        <w:tc>
          <w:tcPr>
            <w:tcW w:type="dxa" w:w="2484"/>
            <w:vAlign w:val="center"/>
            <w:shd w:fill="D9EAF7"/>
          </w:tcPr>
          <w:p>
            <w:r/>
            <w:r>
              <w:rPr>
                <w:b/>
                <w:sz w:val="18"/>
              </w:rPr>
              <w:t>Major activities</w:t>
            </w:r>
          </w:p>
        </w:tc>
        <w:tc>
          <w:tcPr>
            <w:tcW w:type="dxa" w:w="2484"/>
            <w:vAlign w:val="center"/>
            <w:shd w:fill="D9EAF7"/>
          </w:tcPr>
          <w:p>
            <w:r/>
            <w:r>
              <w:rPr>
                <w:b/>
                <w:sz w:val="18"/>
              </w:rPr>
              <w:t>Gate / deliverable</w:t>
            </w:r>
          </w:p>
        </w:tc>
      </w:tr>
      <w:tr>
        <w:tc>
          <w:tcPr>
            <w:tcW w:type="dxa" w:w="2484"/>
            <w:vAlign w:val="center"/>
          </w:tcPr>
          <w:p>
            <w:r/>
            <w:r>
              <w:rPr>
                <w:b w:val="0"/>
                <w:sz w:val="17"/>
              </w:rPr>
              <w:t>Phase 0 – Mobilize</w:t>
            </w:r>
          </w:p>
        </w:tc>
        <w:tc>
          <w:tcPr>
            <w:tcW w:type="dxa" w:w="2484"/>
            <w:vAlign w:val="center"/>
          </w:tcPr>
          <w:p>
            <w:r/>
            <w:r>
              <w:rPr>
                <w:b w:val="0"/>
                <w:sz w:val="17"/>
              </w:rPr>
              <w:t>Weeks 1–4</w:t>
            </w:r>
          </w:p>
        </w:tc>
        <w:tc>
          <w:tcPr>
            <w:tcW w:type="dxa" w:w="2484"/>
            <w:vAlign w:val="center"/>
          </w:tcPr>
          <w:p>
            <w:r/>
            <w:r>
              <w:rPr>
                <w:b w:val="0"/>
                <w:sz w:val="17"/>
              </w:rPr>
              <w:t>Sponsor, scope, objectives, governance roles, baseline metrics.</w:t>
            </w:r>
          </w:p>
        </w:tc>
        <w:tc>
          <w:tcPr>
            <w:tcW w:type="dxa" w:w="2484"/>
            <w:vAlign w:val="center"/>
          </w:tcPr>
          <w:p>
            <w:r/>
            <w:r>
              <w:rPr>
                <w:b w:val="0"/>
                <w:sz w:val="17"/>
              </w:rPr>
              <w:t>Program charter approved</w:t>
            </w:r>
          </w:p>
        </w:tc>
      </w:tr>
      <w:tr>
        <w:tc>
          <w:tcPr>
            <w:tcW w:type="dxa" w:w="2484"/>
            <w:vAlign w:val="center"/>
          </w:tcPr>
          <w:p>
            <w:r/>
            <w:r>
              <w:rPr>
                <w:b w:val="0"/>
                <w:sz w:val="17"/>
              </w:rPr>
              <w:t>Phase 1 – Discover</w:t>
            </w:r>
          </w:p>
        </w:tc>
        <w:tc>
          <w:tcPr>
            <w:tcW w:type="dxa" w:w="2484"/>
            <w:vAlign w:val="center"/>
          </w:tcPr>
          <w:p>
            <w:r/>
            <w:r>
              <w:rPr>
                <w:b w:val="0"/>
                <w:sz w:val="17"/>
              </w:rPr>
              <w:t>Months 2–3</w:t>
            </w:r>
          </w:p>
        </w:tc>
        <w:tc>
          <w:tcPr>
            <w:tcW w:type="dxa" w:w="2484"/>
            <w:vAlign w:val="center"/>
          </w:tcPr>
          <w:p>
            <w:r/>
            <w:r>
              <w:rPr>
                <w:b w:val="0"/>
                <w:sz w:val="17"/>
              </w:rPr>
              <w:t>Use-case inventory, stakeholder interviews, data readiness, risk classification.</w:t>
            </w:r>
          </w:p>
        </w:tc>
        <w:tc>
          <w:tcPr>
            <w:tcW w:type="dxa" w:w="2484"/>
            <w:vAlign w:val="center"/>
          </w:tcPr>
          <w:p>
            <w:r/>
            <w:r>
              <w:rPr>
                <w:b w:val="0"/>
                <w:sz w:val="17"/>
              </w:rPr>
              <w:t>Prioritized portfolio</w:t>
            </w:r>
          </w:p>
        </w:tc>
      </w:tr>
      <w:tr>
        <w:tc>
          <w:tcPr>
            <w:tcW w:type="dxa" w:w="2484"/>
            <w:vAlign w:val="center"/>
          </w:tcPr>
          <w:p>
            <w:r/>
            <w:r>
              <w:rPr>
                <w:b w:val="0"/>
                <w:sz w:val="17"/>
              </w:rPr>
              <w:t>Phase 2 – Design</w:t>
            </w:r>
          </w:p>
        </w:tc>
        <w:tc>
          <w:tcPr>
            <w:tcW w:type="dxa" w:w="2484"/>
            <w:vAlign w:val="center"/>
          </w:tcPr>
          <w:p>
            <w:r/>
            <w:r>
              <w:rPr>
                <w:b w:val="0"/>
                <w:sz w:val="17"/>
              </w:rPr>
              <w:t>Months 3–4</w:t>
            </w:r>
          </w:p>
        </w:tc>
        <w:tc>
          <w:tcPr>
            <w:tcW w:type="dxa" w:w="2484"/>
            <w:vAlign w:val="center"/>
          </w:tcPr>
          <w:p>
            <w:r/>
            <w:r>
              <w:rPr>
                <w:b w:val="0"/>
                <w:sz w:val="17"/>
              </w:rPr>
              <w:t>Architecture, controls, evaluation plan, operating procedures, business cases.</w:t>
            </w:r>
          </w:p>
        </w:tc>
        <w:tc>
          <w:tcPr>
            <w:tcW w:type="dxa" w:w="2484"/>
            <w:vAlign w:val="center"/>
          </w:tcPr>
          <w:p>
            <w:r/>
            <w:r>
              <w:rPr>
                <w:b w:val="0"/>
                <w:sz w:val="17"/>
              </w:rPr>
              <w:t>Pilot designs approved</w:t>
            </w:r>
          </w:p>
        </w:tc>
      </w:tr>
      <w:tr>
        <w:tc>
          <w:tcPr>
            <w:tcW w:type="dxa" w:w="2484"/>
            <w:vAlign w:val="center"/>
          </w:tcPr>
          <w:p>
            <w:r/>
            <w:r>
              <w:rPr>
                <w:b w:val="0"/>
                <w:sz w:val="17"/>
              </w:rPr>
              <w:t>Phase 3 – Pilot</w:t>
            </w:r>
          </w:p>
        </w:tc>
        <w:tc>
          <w:tcPr>
            <w:tcW w:type="dxa" w:w="2484"/>
            <w:vAlign w:val="center"/>
          </w:tcPr>
          <w:p>
            <w:r/>
            <w:r>
              <w:rPr>
                <w:b w:val="0"/>
                <w:sz w:val="17"/>
              </w:rPr>
              <w:t>Months 4–6</w:t>
            </w:r>
          </w:p>
        </w:tc>
        <w:tc>
          <w:tcPr>
            <w:tcW w:type="dxa" w:w="2484"/>
            <w:vAlign w:val="center"/>
          </w:tcPr>
          <w:p>
            <w:r/>
            <w:r>
              <w:rPr>
                <w:b w:val="0"/>
                <w:sz w:val="17"/>
              </w:rPr>
              <w:t>2–4 controlled pilots, user testing, measurement, security and risk validation.</w:t>
            </w:r>
          </w:p>
        </w:tc>
        <w:tc>
          <w:tcPr>
            <w:tcW w:type="dxa" w:w="2484"/>
            <w:vAlign w:val="center"/>
          </w:tcPr>
          <w:p>
            <w:r/>
            <w:r>
              <w:rPr>
                <w:b w:val="0"/>
                <w:sz w:val="17"/>
              </w:rPr>
              <w:t>Pilot go/no-go decisions</w:t>
            </w:r>
          </w:p>
        </w:tc>
      </w:tr>
      <w:tr>
        <w:tc>
          <w:tcPr>
            <w:tcW w:type="dxa" w:w="2484"/>
            <w:vAlign w:val="center"/>
          </w:tcPr>
          <w:p>
            <w:r/>
            <w:r>
              <w:rPr>
                <w:b w:val="0"/>
                <w:sz w:val="17"/>
              </w:rPr>
              <w:t>Phase 4 – Production</w:t>
            </w:r>
          </w:p>
        </w:tc>
        <w:tc>
          <w:tcPr>
            <w:tcW w:type="dxa" w:w="2484"/>
            <w:vAlign w:val="center"/>
          </w:tcPr>
          <w:p>
            <w:r/>
            <w:r>
              <w:rPr>
                <w:b w:val="0"/>
                <w:sz w:val="17"/>
              </w:rPr>
              <w:t>Months 6–9</w:t>
            </w:r>
          </w:p>
        </w:tc>
        <w:tc>
          <w:tcPr>
            <w:tcW w:type="dxa" w:w="2484"/>
            <w:vAlign w:val="center"/>
          </w:tcPr>
          <w:p>
            <w:r/>
            <w:r>
              <w:rPr>
                <w:b w:val="0"/>
                <w:sz w:val="17"/>
              </w:rPr>
              <w:t>Production deployment, training, monitoring, support and integration.</w:t>
            </w:r>
          </w:p>
        </w:tc>
        <w:tc>
          <w:tcPr>
            <w:tcW w:type="dxa" w:w="2484"/>
            <w:vAlign w:val="center"/>
          </w:tcPr>
          <w:p>
            <w:r/>
            <w:r>
              <w:rPr>
                <w:b w:val="0"/>
                <w:sz w:val="17"/>
              </w:rPr>
              <w:t>Operational acceptance</w:t>
            </w:r>
          </w:p>
        </w:tc>
      </w:tr>
      <w:tr>
        <w:tc>
          <w:tcPr>
            <w:tcW w:type="dxa" w:w="2484"/>
            <w:vAlign w:val="center"/>
          </w:tcPr>
          <w:p>
            <w:r/>
            <w:r>
              <w:rPr>
                <w:b w:val="0"/>
                <w:sz w:val="17"/>
              </w:rPr>
              <w:t>Phase 5 – Scale</w:t>
            </w:r>
          </w:p>
        </w:tc>
        <w:tc>
          <w:tcPr>
            <w:tcW w:type="dxa" w:w="2484"/>
            <w:vAlign w:val="center"/>
          </w:tcPr>
          <w:p>
            <w:r/>
            <w:r>
              <w:rPr>
                <w:b w:val="0"/>
                <w:sz w:val="17"/>
              </w:rPr>
              <w:t>Months 9–12</w:t>
            </w:r>
          </w:p>
        </w:tc>
        <w:tc>
          <w:tcPr>
            <w:tcW w:type="dxa" w:w="2484"/>
            <w:vAlign w:val="center"/>
          </w:tcPr>
          <w:p>
            <w:r/>
            <w:r>
              <w:rPr>
                <w:b w:val="0"/>
                <w:sz w:val="17"/>
              </w:rPr>
              <w:t>Expand proven use cases, standardize reusable components, optimize costs.</w:t>
            </w:r>
          </w:p>
        </w:tc>
        <w:tc>
          <w:tcPr>
            <w:tcW w:type="dxa" w:w="2484"/>
            <w:vAlign w:val="center"/>
          </w:tcPr>
          <w:p>
            <w:r/>
            <w:r>
              <w:rPr>
                <w:b w:val="0"/>
                <w:sz w:val="17"/>
              </w:rPr>
              <w:t>Scale roadmap</w:t>
            </w:r>
          </w:p>
        </w:tc>
      </w:tr>
      <w:tr>
        <w:tc>
          <w:tcPr>
            <w:tcW w:type="dxa" w:w="2484"/>
            <w:vAlign w:val="center"/>
          </w:tcPr>
          <w:p>
            <w:r/>
            <w:r>
              <w:rPr>
                <w:b w:val="0"/>
                <w:sz w:val="17"/>
              </w:rPr>
              <w:t>Continuous improvement</w:t>
            </w:r>
          </w:p>
        </w:tc>
        <w:tc>
          <w:tcPr>
            <w:tcW w:type="dxa" w:w="2484"/>
            <w:vAlign w:val="center"/>
          </w:tcPr>
          <w:p>
            <w:r/>
            <w:r>
              <w:rPr>
                <w:b w:val="0"/>
                <w:sz w:val="17"/>
              </w:rPr>
              <w:t>Ongoing</w:t>
            </w:r>
          </w:p>
        </w:tc>
        <w:tc>
          <w:tcPr>
            <w:tcW w:type="dxa" w:w="2484"/>
            <w:vAlign w:val="center"/>
          </w:tcPr>
          <w:p>
            <w:r/>
            <w:r>
              <w:rPr>
                <w:b w:val="0"/>
                <w:sz w:val="17"/>
              </w:rPr>
              <w:t>Monitor KPIs, incidents, model drift, vendor changes, user feedback and new regulations.</w:t>
            </w:r>
          </w:p>
        </w:tc>
        <w:tc>
          <w:tcPr>
            <w:tcW w:type="dxa" w:w="2484"/>
            <w:vAlign w:val="center"/>
          </w:tcPr>
          <w:p>
            <w:r/>
            <w:r>
              <w:rPr>
                <w:b w:val="0"/>
                <w:sz w:val="17"/>
              </w:rPr>
              <w:t>Quarterly AI portfolio review</w:t>
            </w:r>
          </w:p>
        </w:tc>
      </w:tr>
    </w:tbl>
    <w:p/>
    <w:p>
      <w:pPr>
        <w:pStyle w:val="Heading1"/>
      </w:pPr>
      <w:r>
        <w:t>7. Risk Management Framework</w:t>
      </w:r>
    </w:p>
    <w:p>
      <w:r>
        <w:t>The risk approach should combine NIST AI RMF concepts with the organization’s existing enterprise risk, cybersecurity, privacy and compliance processes.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b/>
                <w:sz w:val="18"/>
              </w:rPr>
              <w:t>Risk</w:t>
            </w:r>
          </w:p>
        </w:tc>
        <w:tc>
          <w:tcPr>
            <w:tcW w:type="dxa" w:w="2484"/>
            <w:vAlign w:val="center"/>
            <w:shd w:fill="D9EAF7"/>
          </w:tcPr>
          <w:p>
            <w:r/>
            <w:r>
              <w:rPr>
                <w:b/>
                <w:sz w:val="18"/>
              </w:rPr>
              <w:t>Likelihood</w:t>
            </w:r>
          </w:p>
        </w:tc>
        <w:tc>
          <w:tcPr>
            <w:tcW w:type="dxa" w:w="2484"/>
            <w:vAlign w:val="center"/>
            <w:shd w:fill="D9EAF7"/>
          </w:tcPr>
          <w:p>
            <w:r/>
            <w:r>
              <w:rPr>
                <w:b/>
                <w:sz w:val="18"/>
              </w:rPr>
              <w:t>Impact</w:t>
            </w:r>
          </w:p>
        </w:tc>
        <w:tc>
          <w:tcPr>
            <w:tcW w:type="dxa" w:w="2484"/>
            <w:vAlign w:val="center"/>
            <w:shd w:fill="D9EAF7"/>
          </w:tcPr>
          <w:p>
            <w:r/>
            <w:r>
              <w:rPr>
                <w:b/>
                <w:sz w:val="18"/>
              </w:rPr>
              <w:t>Mitigation / control</w:t>
            </w:r>
          </w:p>
        </w:tc>
      </w:tr>
      <w:tr>
        <w:tc>
          <w:tcPr>
            <w:tcW w:type="dxa" w:w="2484"/>
            <w:vAlign w:val="center"/>
          </w:tcPr>
          <w:p>
            <w:r/>
            <w:r>
              <w:rPr>
                <w:b w:val="0"/>
                <w:sz w:val="17"/>
              </w:rPr>
              <w:t>Hallucination or inaccurate output</w:t>
            </w:r>
          </w:p>
        </w:tc>
        <w:tc>
          <w:tcPr>
            <w:tcW w:type="dxa" w:w="2484"/>
            <w:vAlign w:val="center"/>
          </w:tcPr>
          <w:p>
            <w:r/>
            <w:r>
              <w:rPr>
                <w:b w:val="0"/>
                <w:sz w:val="17"/>
              </w:rPr>
              <w:t>Medium</w:t>
            </w:r>
          </w:p>
        </w:tc>
        <w:tc>
          <w:tcPr>
            <w:tcW w:type="dxa" w:w="2484"/>
            <w:vAlign w:val="center"/>
          </w:tcPr>
          <w:p>
            <w:r/>
            <w:r>
              <w:rPr>
                <w:b w:val="0"/>
                <w:sz w:val="17"/>
              </w:rPr>
              <w:t>High</w:t>
            </w:r>
          </w:p>
        </w:tc>
        <w:tc>
          <w:tcPr>
            <w:tcW w:type="dxa" w:w="2484"/>
            <w:vAlign w:val="center"/>
          </w:tcPr>
          <w:p>
            <w:r/>
            <w:r>
              <w:rPr>
                <w:b w:val="0"/>
                <w:sz w:val="17"/>
              </w:rPr>
              <w:t>Ground responses in approved sources; evaluation tests; human review for consequential outputs.</w:t>
            </w:r>
          </w:p>
        </w:tc>
      </w:tr>
      <w:tr>
        <w:tc>
          <w:tcPr>
            <w:tcW w:type="dxa" w:w="2484"/>
            <w:vAlign w:val="center"/>
          </w:tcPr>
          <w:p>
            <w:r/>
            <w:r>
              <w:rPr>
                <w:b w:val="0"/>
                <w:sz w:val="17"/>
              </w:rPr>
              <w:t>Sensitive data exposure</w:t>
            </w:r>
          </w:p>
        </w:tc>
        <w:tc>
          <w:tcPr>
            <w:tcW w:type="dxa" w:w="2484"/>
            <w:vAlign w:val="center"/>
          </w:tcPr>
          <w:p>
            <w:r/>
            <w:r>
              <w:rPr>
                <w:b w:val="0"/>
                <w:sz w:val="17"/>
              </w:rPr>
              <w:t>Medium</w:t>
            </w:r>
          </w:p>
        </w:tc>
        <w:tc>
          <w:tcPr>
            <w:tcW w:type="dxa" w:w="2484"/>
            <w:vAlign w:val="center"/>
          </w:tcPr>
          <w:p>
            <w:r/>
            <w:r>
              <w:rPr>
                <w:b w:val="0"/>
                <w:sz w:val="17"/>
              </w:rPr>
              <w:t>High</w:t>
            </w:r>
          </w:p>
        </w:tc>
        <w:tc>
          <w:tcPr>
            <w:tcW w:type="dxa" w:w="2484"/>
            <w:vAlign w:val="center"/>
          </w:tcPr>
          <w:p>
            <w:r/>
            <w:r>
              <w:rPr>
                <w:b w:val="0"/>
                <w:sz w:val="17"/>
              </w:rPr>
              <w:t>Data classification, least privilege, encryption, approved providers, retention controls and DLP.</w:t>
            </w:r>
          </w:p>
        </w:tc>
      </w:tr>
      <w:tr>
        <w:tc>
          <w:tcPr>
            <w:tcW w:type="dxa" w:w="2484"/>
            <w:vAlign w:val="center"/>
          </w:tcPr>
          <w:p>
            <w:r/>
            <w:r>
              <w:rPr>
                <w:b w:val="0"/>
                <w:sz w:val="17"/>
              </w:rPr>
              <w:t>Prompt injection / malicious input</w:t>
            </w:r>
          </w:p>
        </w:tc>
        <w:tc>
          <w:tcPr>
            <w:tcW w:type="dxa" w:w="2484"/>
            <w:vAlign w:val="center"/>
          </w:tcPr>
          <w:p>
            <w:r/>
            <w:r>
              <w:rPr>
                <w:b w:val="0"/>
                <w:sz w:val="17"/>
              </w:rPr>
              <w:t>Medium</w:t>
            </w:r>
          </w:p>
        </w:tc>
        <w:tc>
          <w:tcPr>
            <w:tcW w:type="dxa" w:w="2484"/>
            <w:vAlign w:val="center"/>
          </w:tcPr>
          <w:p>
            <w:r/>
            <w:r>
              <w:rPr>
                <w:b w:val="0"/>
                <w:sz w:val="17"/>
              </w:rPr>
              <w:t>High</w:t>
            </w:r>
          </w:p>
        </w:tc>
        <w:tc>
          <w:tcPr>
            <w:tcW w:type="dxa" w:w="2484"/>
            <w:vAlign w:val="center"/>
          </w:tcPr>
          <w:p>
            <w:r/>
            <w:r>
              <w:rPr>
                <w:b w:val="0"/>
                <w:sz w:val="17"/>
              </w:rPr>
              <w:t>Input validation, tool permission boundaries, isolation, security testing and monitoring.</w:t>
            </w:r>
          </w:p>
        </w:tc>
      </w:tr>
      <w:tr>
        <w:tc>
          <w:tcPr>
            <w:tcW w:type="dxa" w:w="2484"/>
            <w:vAlign w:val="center"/>
          </w:tcPr>
          <w:p>
            <w:r/>
            <w:r>
              <w:rPr>
                <w:b w:val="0"/>
                <w:sz w:val="17"/>
              </w:rPr>
              <w:t>Bias / unfair outcomes</w:t>
            </w:r>
          </w:p>
        </w:tc>
        <w:tc>
          <w:tcPr>
            <w:tcW w:type="dxa" w:w="2484"/>
            <w:vAlign w:val="center"/>
          </w:tcPr>
          <w:p>
            <w:r/>
            <w:r>
              <w:rPr>
                <w:b w:val="0"/>
                <w:sz w:val="17"/>
              </w:rPr>
              <w:t>Medium</w:t>
            </w:r>
          </w:p>
        </w:tc>
        <w:tc>
          <w:tcPr>
            <w:tcW w:type="dxa" w:w="2484"/>
            <w:vAlign w:val="center"/>
          </w:tcPr>
          <w:p>
            <w:r/>
            <w:r>
              <w:rPr>
                <w:b w:val="0"/>
                <w:sz w:val="17"/>
              </w:rPr>
              <w:t>High</w:t>
            </w:r>
          </w:p>
        </w:tc>
        <w:tc>
          <w:tcPr>
            <w:tcW w:type="dxa" w:w="2484"/>
            <w:vAlign w:val="center"/>
          </w:tcPr>
          <w:p>
            <w:r/>
            <w:r>
              <w:rPr>
                <w:b w:val="0"/>
                <w:sz w:val="17"/>
              </w:rPr>
              <w:t>Impact assessment, representative testing, subgroup evaluation and human escalation.</w:t>
            </w:r>
          </w:p>
        </w:tc>
      </w:tr>
      <w:tr>
        <w:tc>
          <w:tcPr>
            <w:tcW w:type="dxa" w:w="2484"/>
            <w:vAlign w:val="center"/>
          </w:tcPr>
          <w:p>
            <w:r/>
            <w:r>
              <w:rPr>
                <w:b w:val="0"/>
                <w:sz w:val="17"/>
              </w:rPr>
              <w:t>Model or vendor outage</w:t>
            </w:r>
          </w:p>
        </w:tc>
        <w:tc>
          <w:tcPr>
            <w:tcW w:type="dxa" w:w="2484"/>
            <w:vAlign w:val="center"/>
          </w:tcPr>
          <w:p>
            <w:r/>
            <w:r>
              <w:rPr>
                <w:b w:val="0"/>
                <w:sz w:val="17"/>
              </w:rPr>
              <w:t>Medium</w:t>
            </w:r>
          </w:p>
        </w:tc>
        <w:tc>
          <w:tcPr>
            <w:tcW w:type="dxa" w:w="2484"/>
            <w:vAlign w:val="center"/>
          </w:tcPr>
          <w:p>
            <w:r/>
            <w:r>
              <w:rPr>
                <w:b w:val="0"/>
                <w:sz w:val="17"/>
              </w:rPr>
              <w:t>Medium</w:t>
            </w:r>
          </w:p>
        </w:tc>
        <w:tc>
          <w:tcPr>
            <w:tcW w:type="dxa" w:w="2484"/>
            <w:vAlign w:val="center"/>
          </w:tcPr>
          <w:p>
            <w:r/>
            <w:r>
              <w:rPr>
                <w:b w:val="0"/>
                <w:sz w:val="17"/>
              </w:rPr>
              <w:t>Fallback process, service monitoring, backup provider/model where justified.</w:t>
            </w:r>
          </w:p>
        </w:tc>
      </w:tr>
      <w:tr>
        <w:tc>
          <w:tcPr>
            <w:tcW w:type="dxa" w:w="2484"/>
            <w:vAlign w:val="center"/>
          </w:tcPr>
          <w:p>
            <w:r/>
            <w:r>
              <w:rPr>
                <w:b w:val="0"/>
                <w:sz w:val="17"/>
              </w:rPr>
              <w:t>Cost overrun</w:t>
            </w:r>
          </w:p>
        </w:tc>
        <w:tc>
          <w:tcPr>
            <w:tcW w:type="dxa" w:w="2484"/>
            <w:vAlign w:val="center"/>
          </w:tcPr>
          <w:p>
            <w:r/>
            <w:r>
              <w:rPr>
                <w:b w:val="0"/>
                <w:sz w:val="17"/>
              </w:rPr>
              <w:t>Medium</w:t>
            </w:r>
          </w:p>
        </w:tc>
        <w:tc>
          <w:tcPr>
            <w:tcW w:type="dxa" w:w="2484"/>
            <w:vAlign w:val="center"/>
          </w:tcPr>
          <w:p>
            <w:r/>
            <w:r>
              <w:rPr>
                <w:b w:val="0"/>
                <w:sz w:val="17"/>
              </w:rPr>
              <w:t>Medium</w:t>
            </w:r>
          </w:p>
        </w:tc>
        <w:tc>
          <w:tcPr>
            <w:tcW w:type="dxa" w:w="2484"/>
            <w:vAlign w:val="center"/>
          </w:tcPr>
          <w:p>
            <w:r/>
            <w:r>
              <w:rPr>
                <w:b w:val="0"/>
                <w:sz w:val="17"/>
              </w:rPr>
              <w:t>Budgets, usage limits, cost dashboards and unit-economics review.</w:t>
            </w:r>
          </w:p>
        </w:tc>
      </w:tr>
      <w:tr>
        <w:tc>
          <w:tcPr>
            <w:tcW w:type="dxa" w:w="2484"/>
            <w:vAlign w:val="center"/>
          </w:tcPr>
          <w:p>
            <w:r/>
            <w:r>
              <w:rPr>
                <w:b w:val="0"/>
                <w:sz w:val="17"/>
              </w:rPr>
              <w:t>Low user adoption</w:t>
            </w:r>
          </w:p>
        </w:tc>
        <w:tc>
          <w:tcPr>
            <w:tcW w:type="dxa" w:w="2484"/>
            <w:vAlign w:val="center"/>
          </w:tcPr>
          <w:p>
            <w:r/>
            <w:r>
              <w:rPr>
                <w:b w:val="0"/>
                <w:sz w:val="17"/>
              </w:rPr>
              <w:t>Medium</w:t>
            </w:r>
          </w:p>
        </w:tc>
        <w:tc>
          <w:tcPr>
            <w:tcW w:type="dxa" w:w="2484"/>
            <w:vAlign w:val="center"/>
          </w:tcPr>
          <w:p>
            <w:r/>
            <w:r>
              <w:rPr>
                <w:b w:val="0"/>
                <w:sz w:val="17"/>
              </w:rPr>
              <w:t>Medium</w:t>
            </w:r>
          </w:p>
        </w:tc>
        <w:tc>
          <w:tcPr>
            <w:tcW w:type="dxa" w:w="2484"/>
            <w:vAlign w:val="center"/>
          </w:tcPr>
          <w:p>
            <w:r/>
            <w:r>
              <w:rPr>
                <w:b w:val="0"/>
                <w:sz w:val="17"/>
              </w:rPr>
              <w:t>Co-design, training, workflow redesign and adoption metrics.</w:t>
            </w:r>
          </w:p>
        </w:tc>
      </w:tr>
      <w:tr>
        <w:tc>
          <w:tcPr>
            <w:tcW w:type="dxa" w:w="2484"/>
            <w:vAlign w:val="center"/>
          </w:tcPr>
          <w:p>
            <w:r/>
            <w:r>
              <w:rPr>
                <w:b w:val="0"/>
                <w:sz w:val="17"/>
              </w:rPr>
              <w:t>Unclear accountability</w:t>
            </w:r>
          </w:p>
        </w:tc>
        <w:tc>
          <w:tcPr>
            <w:tcW w:type="dxa" w:w="2484"/>
            <w:vAlign w:val="center"/>
          </w:tcPr>
          <w:p>
            <w:r/>
            <w:r>
              <w:rPr>
                <w:b w:val="0"/>
                <w:sz w:val="17"/>
              </w:rPr>
              <w:t>Medium</w:t>
            </w:r>
          </w:p>
        </w:tc>
        <w:tc>
          <w:tcPr>
            <w:tcW w:type="dxa" w:w="2484"/>
            <w:vAlign w:val="center"/>
          </w:tcPr>
          <w:p>
            <w:r/>
            <w:r>
              <w:rPr>
                <w:b w:val="0"/>
                <w:sz w:val="17"/>
              </w:rPr>
              <w:t>High</w:t>
            </w:r>
          </w:p>
        </w:tc>
        <w:tc>
          <w:tcPr>
            <w:tcW w:type="dxa" w:w="2484"/>
            <w:vAlign w:val="center"/>
          </w:tcPr>
          <w:p>
            <w:r/>
            <w:r>
              <w:rPr>
                <w:b w:val="0"/>
                <w:sz w:val="17"/>
              </w:rPr>
              <w:t>Named business owner, approval matrix, documented roles and escalation path.</w:t>
            </w:r>
          </w:p>
        </w:tc>
      </w:tr>
      <w:tr>
        <w:tc>
          <w:tcPr>
            <w:tcW w:type="dxa" w:w="2484"/>
            <w:vAlign w:val="center"/>
          </w:tcPr>
          <w:p>
            <w:r/>
            <w:r>
              <w:rPr>
                <w:b w:val="0"/>
                <w:sz w:val="17"/>
              </w:rPr>
              <w:t>Model drift / changing behavior</w:t>
            </w:r>
          </w:p>
        </w:tc>
        <w:tc>
          <w:tcPr>
            <w:tcW w:type="dxa" w:w="2484"/>
            <w:vAlign w:val="center"/>
          </w:tcPr>
          <w:p>
            <w:r/>
            <w:r>
              <w:rPr>
                <w:b w:val="0"/>
                <w:sz w:val="17"/>
              </w:rPr>
              <w:t>Medium</w:t>
            </w:r>
          </w:p>
        </w:tc>
        <w:tc>
          <w:tcPr>
            <w:tcW w:type="dxa" w:w="2484"/>
            <w:vAlign w:val="center"/>
          </w:tcPr>
          <w:p>
            <w:r/>
            <w:r>
              <w:rPr>
                <w:b w:val="0"/>
                <w:sz w:val="17"/>
              </w:rPr>
              <w:t>High</w:t>
            </w:r>
          </w:p>
        </w:tc>
        <w:tc>
          <w:tcPr>
            <w:tcW w:type="dxa" w:w="2484"/>
            <w:vAlign w:val="center"/>
          </w:tcPr>
          <w:p>
            <w:r/>
            <w:r>
              <w:rPr>
                <w:b w:val="0"/>
                <w:sz w:val="17"/>
              </w:rPr>
              <w:t>Continuous evaluation, version tracking, regression tests and re-approval triggers.</w:t>
            </w:r>
          </w:p>
        </w:tc>
      </w:tr>
      <w:tr>
        <w:tc>
          <w:tcPr>
            <w:tcW w:type="dxa" w:w="2484"/>
            <w:vAlign w:val="center"/>
          </w:tcPr>
          <w:p>
            <w:r/>
            <w:r>
              <w:rPr>
                <w:b w:val="0"/>
                <w:sz w:val="17"/>
              </w:rPr>
              <w:t>Regulatory or contractual non-compliance</w:t>
            </w:r>
          </w:p>
        </w:tc>
        <w:tc>
          <w:tcPr>
            <w:tcW w:type="dxa" w:w="2484"/>
            <w:vAlign w:val="center"/>
          </w:tcPr>
          <w:p>
            <w:r/>
            <w:r>
              <w:rPr>
                <w:b w:val="0"/>
                <w:sz w:val="17"/>
              </w:rPr>
              <w:t>Low–Medium</w:t>
            </w:r>
          </w:p>
        </w:tc>
        <w:tc>
          <w:tcPr>
            <w:tcW w:type="dxa" w:w="2484"/>
            <w:vAlign w:val="center"/>
          </w:tcPr>
          <w:p>
            <w:r/>
            <w:r>
              <w:rPr>
                <w:b w:val="0"/>
                <w:sz w:val="17"/>
              </w:rPr>
              <w:t>High</w:t>
            </w:r>
          </w:p>
        </w:tc>
        <w:tc>
          <w:tcPr>
            <w:tcW w:type="dxa" w:w="2484"/>
            <w:vAlign w:val="center"/>
          </w:tcPr>
          <w:p>
            <w:r/>
            <w:r>
              <w:rPr>
                <w:b w:val="0"/>
                <w:sz w:val="17"/>
              </w:rPr>
              <w:t>Legal review, documented controls, vendor due diligence and periodic compliance checks.</w:t>
            </w:r>
          </w:p>
        </w:tc>
      </w:tr>
    </w:tbl>
    <w:p/>
    <w:p>
      <w:pPr>
        <w:pStyle w:val="Heading2"/>
      </w:pPr>
      <w:r>
        <w:t>Risk Classification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Tier</w:t>
            </w:r>
          </w:p>
        </w:tc>
        <w:tc>
          <w:tcPr>
            <w:tcW w:type="dxa" w:w="3312"/>
            <w:vAlign w:val="center"/>
            <w:shd w:fill="D9EAF7"/>
          </w:tcPr>
          <w:p>
            <w:r/>
            <w:r>
              <w:rPr>
                <w:b/>
                <w:sz w:val="18"/>
              </w:rPr>
              <w:t>Typical examples</w:t>
            </w:r>
          </w:p>
        </w:tc>
        <w:tc>
          <w:tcPr>
            <w:tcW w:type="dxa" w:w="3312"/>
            <w:vAlign w:val="center"/>
            <w:shd w:fill="D9EAF7"/>
          </w:tcPr>
          <w:p>
            <w:r/>
            <w:r>
              <w:rPr>
                <w:b/>
                <w:sz w:val="18"/>
              </w:rPr>
              <w:t>Approval</w:t>
            </w:r>
          </w:p>
        </w:tc>
      </w:tr>
      <w:tr>
        <w:tc>
          <w:tcPr>
            <w:tcW w:type="dxa" w:w="3312"/>
            <w:vAlign w:val="center"/>
          </w:tcPr>
          <w:p>
            <w:r/>
            <w:r>
              <w:rPr>
                <w:b w:val="0"/>
                <w:sz w:val="17"/>
              </w:rPr>
              <w:t>Tier 1 – Low</w:t>
            </w:r>
          </w:p>
        </w:tc>
        <w:tc>
          <w:tcPr>
            <w:tcW w:type="dxa" w:w="3312"/>
            <w:vAlign w:val="center"/>
          </w:tcPr>
          <w:p>
            <w:r/>
            <w:r>
              <w:rPr>
                <w:b w:val="0"/>
                <w:sz w:val="17"/>
              </w:rPr>
              <w:t>Drafting, summarization, internal search with non-sensitive data</w:t>
            </w:r>
          </w:p>
        </w:tc>
        <w:tc>
          <w:tcPr>
            <w:tcW w:type="dxa" w:w="3312"/>
            <w:vAlign w:val="center"/>
          </w:tcPr>
          <w:p>
            <w:r/>
            <w:r>
              <w:rPr>
                <w:b w:val="0"/>
                <w:sz w:val="17"/>
              </w:rPr>
              <w:t>Business owner + standard AI policy controls</w:t>
            </w:r>
          </w:p>
        </w:tc>
      </w:tr>
      <w:tr>
        <w:tc>
          <w:tcPr>
            <w:tcW w:type="dxa" w:w="3312"/>
            <w:vAlign w:val="center"/>
          </w:tcPr>
          <w:p>
            <w:r/>
            <w:r>
              <w:rPr>
                <w:b w:val="0"/>
                <w:sz w:val="17"/>
              </w:rPr>
              <w:t>Tier 2 – Moderate</w:t>
            </w:r>
          </w:p>
        </w:tc>
        <w:tc>
          <w:tcPr>
            <w:tcW w:type="dxa" w:w="3312"/>
            <w:vAlign w:val="center"/>
          </w:tcPr>
          <w:p>
            <w:r/>
            <w:r>
              <w:rPr>
                <w:b w:val="0"/>
                <w:sz w:val="17"/>
              </w:rPr>
              <w:t>Customer support assistance, workflow classification, internal analytics</w:t>
            </w:r>
          </w:p>
        </w:tc>
        <w:tc>
          <w:tcPr>
            <w:tcW w:type="dxa" w:w="3312"/>
            <w:vAlign w:val="center"/>
          </w:tcPr>
          <w:p>
            <w:r/>
            <w:r>
              <w:rPr>
                <w:b w:val="0"/>
                <w:sz w:val="17"/>
              </w:rPr>
              <w:t>Business owner + AI governance/security review</w:t>
            </w:r>
          </w:p>
        </w:tc>
      </w:tr>
      <w:tr>
        <w:tc>
          <w:tcPr>
            <w:tcW w:type="dxa" w:w="3312"/>
            <w:vAlign w:val="center"/>
          </w:tcPr>
          <w:p>
            <w:r/>
            <w:r>
              <w:rPr>
                <w:b w:val="0"/>
                <w:sz w:val="17"/>
              </w:rPr>
              <w:t>Tier 3 – High</w:t>
            </w:r>
          </w:p>
        </w:tc>
        <w:tc>
          <w:tcPr>
            <w:tcW w:type="dxa" w:w="3312"/>
            <w:vAlign w:val="center"/>
          </w:tcPr>
          <w:p>
            <w:r/>
            <w:r>
              <w:rPr>
                <w:b w:val="0"/>
                <w:sz w:val="17"/>
              </w:rPr>
              <w:t>Employment, financial, legal, health, safety or materially consequential decisions</w:t>
            </w:r>
          </w:p>
        </w:tc>
        <w:tc>
          <w:tcPr>
            <w:tcW w:type="dxa" w:w="3312"/>
            <w:vAlign w:val="center"/>
          </w:tcPr>
          <w:p>
            <w:r/>
            <w:r>
              <w:rPr>
                <w:b w:val="0"/>
                <w:sz w:val="17"/>
              </w:rPr>
              <w:t>Formal impact/risk assessment + executive/legal approval + enhanced monitoring</w:t>
            </w:r>
          </w:p>
        </w:tc>
      </w:tr>
      <w:tr>
        <w:tc>
          <w:tcPr>
            <w:tcW w:type="dxa" w:w="3312"/>
            <w:vAlign w:val="center"/>
          </w:tcPr>
          <w:p>
            <w:r/>
            <w:r>
              <w:rPr>
                <w:b w:val="0"/>
                <w:sz w:val="17"/>
              </w:rPr>
              <w:t>Tier 4 – Restricted</w:t>
            </w:r>
          </w:p>
        </w:tc>
        <w:tc>
          <w:tcPr>
            <w:tcW w:type="dxa" w:w="3312"/>
            <w:vAlign w:val="center"/>
          </w:tcPr>
          <w:p>
            <w:r/>
            <w:r>
              <w:rPr>
                <w:b w:val="0"/>
                <w:sz w:val="17"/>
              </w:rPr>
              <w:t>Use cases prohibited by law, policy or unacceptable organizational risk</w:t>
            </w:r>
          </w:p>
        </w:tc>
        <w:tc>
          <w:tcPr>
            <w:tcW w:type="dxa" w:w="3312"/>
            <w:vAlign w:val="center"/>
          </w:tcPr>
          <w:p>
            <w:r/>
            <w:r>
              <w:rPr>
                <w:b w:val="0"/>
                <w:sz w:val="17"/>
              </w:rPr>
              <w:t>Do not deploy</w:t>
            </w:r>
          </w:p>
        </w:tc>
      </w:tr>
    </w:tbl>
    <w:p/>
    <w:p>
      <w:pPr>
        <w:pStyle w:val="Heading1"/>
      </w:pPr>
      <w:r>
        <w:t>8. Governance and Operational Controls</w:t>
      </w:r>
    </w:p>
    <w:p>
      <w:pPr>
        <w:pStyle w:val="ListBullet"/>
      </w:pPr>
      <w:r>
        <w:t>AI inventory: record every production and pilot AI system, owner, vendor, model/version, data types, purpose, risk tier and review date.</w:t>
      </w:r>
    </w:p>
    <w:p>
      <w:pPr>
        <w:pStyle w:val="ListBullet"/>
      </w:pPr>
      <w:r>
        <w:t>Use-case intake: require a standard business case, data assessment, risk classification and measurable success criteria.</w:t>
      </w:r>
    </w:p>
    <w:p>
      <w:pPr>
        <w:pStyle w:val="ListBullet"/>
      </w:pPr>
      <w:r>
        <w:t>Approval gates: no production deployment without documented testing, security review, owner acceptance and rollback plan.</w:t>
      </w:r>
    </w:p>
    <w:p>
      <w:pPr>
        <w:pStyle w:val="ListBullet"/>
      </w:pPr>
      <w:r>
        <w:t>Access control: apply role-based access and least privilege; separate development, testing and production environments.</w:t>
      </w:r>
    </w:p>
    <w:p>
      <w:pPr>
        <w:pStyle w:val="ListBullet"/>
      </w:pPr>
      <w:r>
        <w:t>Auditability: maintain logs for material system actions, model/version changes, approvals, incidents and monitoring results.</w:t>
      </w:r>
    </w:p>
    <w:p>
      <w:pPr>
        <w:pStyle w:val="ListBullet"/>
      </w:pPr>
      <w:r>
        <w:t>Human oversight: define when users must verify outputs, when AI cannot act autonomously and when escalation is mandatory.</w:t>
      </w:r>
    </w:p>
    <w:p>
      <w:pPr>
        <w:pStyle w:val="ListBullet"/>
      </w:pPr>
      <w:r>
        <w:t>Change management: require re-evaluation when models, prompts, data sources, tools, vendors or business processes materially change.</w:t>
      </w:r>
    </w:p>
    <w:p>
      <w:pPr>
        <w:pStyle w:val="ListBullet"/>
      </w:pPr>
      <w:r>
        <w:t>Incident management: create severity levels, response owners, communication paths and post-incident reviews.</w:t>
      </w:r>
    </w:p>
    <w:p>
      <w:pPr>
        <w:pStyle w:val="ListBullet"/>
      </w:pPr>
      <w:r>
        <w:t>Vendor governance: assess security, privacy, availability, data use, intellectual property, subcontractors, pricing and exit options.</w:t>
      </w:r>
    </w:p>
    <w:p>
      <w:pPr>
        <w:pStyle w:val="Heading1"/>
      </w:pPr>
      <w:r>
        <w:t>9. Potential Operational Benefits and Impact Forecast</w:t>
      </w:r>
    </w:p>
    <w:p>
      <w:r>
        <w:t>The impact forecast should be expressed as measurable operational hypotheses rather than guaranteed savings. Baseline performance must be captured before implementation.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Benefit area</w:t>
            </w:r>
          </w:p>
        </w:tc>
        <w:tc>
          <w:tcPr>
            <w:tcW w:type="dxa" w:w="3312"/>
            <w:vAlign w:val="center"/>
            <w:shd w:fill="D9EAF7"/>
          </w:tcPr>
          <w:p>
            <w:r/>
            <w:r>
              <w:rPr>
                <w:b/>
                <w:sz w:val="18"/>
              </w:rPr>
              <w:t>Illustrative target for pilot</w:t>
            </w:r>
          </w:p>
        </w:tc>
        <w:tc>
          <w:tcPr>
            <w:tcW w:type="dxa" w:w="3312"/>
            <w:vAlign w:val="center"/>
            <w:shd w:fill="D9EAF7"/>
          </w:tcPr>
          <w:p>
            <w:r/>
            <w:r>
              <w:rPr>
                <w:b/>
                <w:sz w:val="18"/>
              </w:rPr>
              <w:t>Measurement method</w:t>
            </w:r>
          </w:p>
        </w:tc>
      </w:tr>
      <w:tr>
        <w:tc>
          <w:tcPr>
            <w:tcW w:type="dxa" w:w="3312"/>
            <w:vAlign w:val="center"/>
          </w:tcPr>
          <w:p>
            <w:r/>
            <w:r>
              <w:rPr>
                <w:b w:val="0"/>
                <w:sz w:val="17"/>
              </w:rPr>
              <w:t>Routine productivity</w:t>
            </w:r>
          </w:p>
        </w:tc>
        <w:tc>
          <w:tcPr>
            <w:tcW w:type="dxa" w:w="3312"/>
            <w:vAlign w:val="center"/>
          </w:tcPr>
          <w:p>
            <w:r/>
            <w:r>
              <w:rPr>
                <w:b w:val="0"/>
                <w:sz w:val="17"/>
              </w:rPr>
              <w:t>10–25% reduction in time on selected tasks</w:t>
            </w:r>
          </w:p>
        </w:tc>
        <w:tc>
          <w:tcPr>
            <w:tcW w:type="dxa" w:w="3312"/>
            <w:vAlign w:val="center"/>
          </w:tcPr>
          <w:p>
            <w:r/>
            <w:r>
              <w:rPr>
                <w:b w:val="0"/>
                <w:sz w:val="17"/>
              </w:rPr>
              <w:t>Time study before vs. after</w:t>
            </w:r>
          </w:p>
        </w:tc>
      </w:tr>
      <w:tr>
        <w:tc>
          <w:tcPr>
            <w:tcW w:type="dxa" w:w="3312"/>
            <w:vAlign w:val="center"/>
          </w:tcPr>
          <w:p>
            <w:r/>
            <w:r>
              <w:rPr>
                <w:b w:val="0"/>
                <w:sz w:val="17"/>
              </w:rPr>
              <w:t>Service response</w:t>
            </w:r>
          </w:p>
        </w:tc>
        <w:tc>
          <w:tcPr>
            <w:tcW w:type="dxa" w:w="3312"/>
            <w:vAlign w:val="center"/>
          </w:tcPr>
          <w:p>
            <w:r/>
            <w:r>
              <w:rPr>
                <w:b w:val="0"/>
                <w:sz w:val="17"/>
              </w:rPr>
              <w:t>15–30% faster first response</w:t>
            </w:r>
          </w:p>
        </w:tc>
        <w:tc>
          <w:tcPr>
            <w:tcW w:type="dxa" w:w="3312"/>
            <w:vAlign w:val="center"/>
          </w:tcPr>
          <w:p>
            <w:r/>
            <w:r>
              <w:rPr>
                <w:b w:val="0"/>
                <w:sz w:val="17"/>
              </w:rPr>
              <w:t>Workflow timestamps</w:t>
            </w:r>
          </w:p>
        </w:tc>
      </w:tr>
      <w:tr>
        <w:tc>
          <w:tcPr>
            <w:tcW w:type="dxa" w:w="3312"/>
            <w:vAlign w:val="center"/>
          </w:tcPr>
          <w:p>
            <w:r/>
            <w:r>
              <w:rPr>
                <w:b w:val="0"/>
                <w:sz w:val="17"/>
              </w:rPr>
              <w:t>Knowledge access</w:t>
            </w:r>
          </w:p>
        </w:tc>
        <w:tc>
          <w:tcPr>
            <w:tcW w:type="dxa" w:w="3312"/>
            <w:vAlign w:val="center"/>
          </w:tcPr>
          <w:p>
            <w:r/>
            <w:r>
              <w:rPr>
                <w:b w:val="0"/>
                <w:sz w:val="17"/>
              </w:rPr>
              <w:t>20–40% faster information retrieval</w:t>
            </w:r>
          </w:p>
        </w:tc>
        <w:tc>
          <w:tcPr>
            <w:tcW w:type="dxa" w:w="3312"/>
            <w:vAlign w:val="center"/>
          </w:tcPr>
          <w:p>
            <w:r/>
            <w:r>
              <w:rPr>
                <w:b w:val="0"/>
                <w:sz w:val="17"/>
              </w:rPr>
              <w:t>Search/task completion time</w:t>
            </w:r>
          </w:p>
        </w:tc>
      </w:tr>
      <w:tr>
        <w:tc>
          <w:tcPr>
            <w:tcW w:type="dxa" w:w="3312"/>
            <w:vAlign w:val="center"/>
          </w:tcPr>
          <w:p>
            <w:r/>
            <w:r>
              <w:rPr>
                <w:b w:val="0"/>
                <w:sz w:val="17"/>
              </w:rPr>
              <w:t>Quality</w:t>
            </w:r>
          </w:p>
        </w:tc>
        <w:tc>
          <w:tcPr>
            <w:tcW w:type="dxa" w:w="3312"/>
            <w:vAlign w:val="center"/>
          </w:tcPr>
          <w:p>
            <w:r/>
            <w:r>
              <w:rPr>
                <w:b w:val="0"/>
                <w:sz w:val="17"/>
              </w:rPr>
              <w:t>5–15% reduction in avoidable rework</w:t>
            </w:r>
          </w:p>
        </w:tc>
        <w:tc>
          <w:tcPr>
            <w:tcW w:type="dxa" w:w="3312"/>
            <w:vAlign w:val="center"/>
          </w:tcPr>
          <w:p>
            <w:r/>
            <w:r>
              <w:rPr>
                <w:b w:val="0"/>
                <w:sz w:val="17"/>
              </w:rPr>
              <w:t>QA/rework records</w:t>
            </w:r>
          </w:p>
        </w:tc>
      </w:tr>
      <w:tr>
        <w:tc>
          <w:tcPr>
            <w:tcW w:type="dxa" w:w="3312"/>
            <w:vAlign w:val="center"/>
          </w:tcPr>
          <w:p>
            <w:r/>
            <w:r>
              <w:rPr>
                <w:b w:val="0"/>
                <w:sz w:val="17"/>
              </w:rPr>
              <w:t>Automation</w:t>
            </w:r>
          </w:p>
        </w:tc>
        <w:tc>
          <w:tcPr>
            <w:tcW w:type="dxa" w:w="3312"/>
            <w:vAlign w:val="center"/>
          </w:tcPr>
          <w:p>
            <w:r/>
            <w:r>
              <w:rPr>
                <w:b w:val="0"/>
                <w:sz w:val="17"/>
              </w:rPr>
              <w:t>20–50% of eligible low-risk steps automated</w:t>
            </w:r>
          </w:p>
        </w:tc>
        <w:tc>
          <w:tcPr>
            <w:tcW w:type="dxa" w:w="3312"/>
            <w:vAlign w:val="center"/>
          </w:tcPr>
          <w:p>
            <w:r/>
            <w:r>
              <w:rPr>
                <w:b w:val="0"/>
                <w:sz w:val="17"/>
              </w:rPr>
              <w:t>Eligible vs. automated volume</w:t>
            </w:r>
          </w:p>
        </w:tc>
      </w:tr>
      <w:tr>
        <w:tc>
          <w:tcPr>
            <w:tcW w:type="dxa" w:w="3312"/>
            <w:vAlign w:val="center"/>
          </w:tcPr>
          <w:p>
            <w:r/>
            <w:r>
              <w:rPr>
                <w:b w:val="0"/>
                <w:sz w:val="17"/>
              </w:rPr>
              <w:t>Employee adoption</w:t>
            </w:r>
          </w:p>
        </w:tc>
        <w:tc>
          <w:tcPr>
            <w:tcW w:type="dxa" w:w="3312"/>
            <w:vAlign w:val="center"/>
          </w:tcPr>
          <w:p>
            <w:r/>
            <w:r>
              <w:rPr>
                <w:b w:val="0"/>
                <w:sz w:val="17"/>
              </w:rPr>
              <w:t>&gt;70% active use among target users after stabilization</w:t>
            </w:r>
          </w:p>
        </w:tc>
        <w:tc>
          <w:tcPr>
            <w:tcW w:type="dxa" w:w="3312"/>
            <w:vAlign w:val="center"/>
          </w:tcPr>
          <w:p>
            <w:r/>
            <w:r>
              <w:rPr>
                <w:b w:val="0"/>
                <w:sz w:val="17"/>
              </w:rPr>
              <w:t>Usage analytics + survey</w:t>
            </w:r>
          </w:p>
        </w:tc>
      </w:tr>
      <w:tr>
        <w:tc>
          <w:tcPr>
            <w:tcW w:type="dxa" w:w="3312"/>
            <w:vAlign w:val="center"/>
          </w:tcPr>
          <w:p>
            <w:r/>
            <w:r>
              <w:rPr>
                <w:b w:val="0"/>
                <w:sz w:val="17"/>
              </w:rPr>
              <w:t>Unit economics</w:t>
            </w:r>
          </w:p>
        </w:tc>
        <w:tc>
          <w:tcPr>
            <w:tcW w:type="dxa" w:w="3312"/>
            <w:vAlign w:val="center"/>
          </w:tcPr>
          <w:p>
            <w:r/>
            <w:r>
              <w:rPr>
                <w:b w:val="0"/>
                <w:sz w:val="17"/>
              </w:rPr>
              <w:t>Positive value-to-cost ratio after stabilization</w:t>
            </w:r>
          </w:p>
        </w:tc>
        <w:tc>
          <w:tcPr>
            <w:tcW w:type="dxa" w:w="3312"/>
            <w:vAlign w:val="center"/>
          </w:tcPr>
          <w:p>
            <w:r/>
            <w:r>
              <w:rPr>
                <w:b w:val="0"/>
                <w:sz w:val="17"/>
              </w:rPr>
              <w:t>Avoided cost + productivity value / AI TCO</w:t>
            </w:r>
          </w:p>
        </w:tc>
      </w:tr>
    </w:tbl>
    <w:p/>
    <w:p>
      <w:r>
        <w:t>These are planning ranges for scenario analysis only. The organization should replace them with baselines and targets appropriate to each process.</w:t>
      </w:r>
    </w:p>
    <w:p>
      <w:pPr>
        <w:pStyle w:val="Heading1"/>
      </w:pPr>
      <w:r>
        <w:t>10. Key Challenges and Mitigation Strategies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Challenge</w:t>
            </w:r>
          </w:p>
        </w:tc>
        <w:tc>
          <w:tcPr>
            <w:tcW w:type="dxa" w:w="3312"/>
            <w:vAlign w:val="center"/>
            <w:shd w:fill="D9EAF7"/>
          </w:tcPr>
          <w:p>
            <w:r/>
            <w:r>
              <w:rPr>
                <w:b/>
                <w:sz w:val="18"/>
              </w:rPr>
              <w:t>Why it matters</w:t>
            </w:r>
          </w:p>
        </w:tc>
        <w:tc>
          <w:tcPr>
            <w:tcW w:type="dxa" w:w="3312"/>
            <w:vAlign w:val="center"/>
            <w:shd w:fill="D9EAF7"/>
          </w:tcPr>
          <w:p>
            <w:r/>
            <w:r>
              <w:rPr>
                <w:b/>
                <w:sz w:val="18"/>
              </w:rPr>
              <w:t>Mitigation</w:t>
            </w:r>
          </w:p>
        </w:tc>
      </w:tr>
      <w:tr>
        <w:tc>
          <w:tcPr>
            <w:tcW w:type="dxa" w:w="3312"/>
            <w:vAlign w:val="center"/>
          </w:tcPr>
          <w:p>
            <w:r/>
            <w:r>
              <w:rPr>
                <w:b w:val="0"/>
                <w:sz w:val="17"/>
              </w:rPr>
              <w:t>Unclear business ownership</w:t>
            </w:r>
          </w:p>
        </w:tc>
        <w:tc>
          <w:tcPr>
            <w:tcW w:type="dxa" w:w="3312"/>
            <w:vAlign w:val="center"/>
          </w:tcPr>
          <w:p>
            <w:r/>
            <w:r>
              <w:rPr>
                <w:b w:val="0"/>
                <w:sz w:val="17"/>
              </w:rPr>
              <w:t>AI becomes an IT experiment with no accountable outcome.</w:t>
            </w:r>
          </w:p>
        </w:tc>
        <w:tc>
          <w:tcPr>
            <w:tcW w:type="dxa" w:w="3312"/>
            <w:vAlign w:val="center"/>
          </w:tcPr>
          <w:p>
            <w:r/>
            <w:r>
              <w:rPr>
                <w:b w:val="0"/>
                <w:sz w:val="17"/>
              </w:rPr>
              <w:t>Assign a business owner and KPI before technical work begins.</w:t>
            </w:r>
          </w:p>
        </w:tc>
      </w:tr>
      <w:tr>
        <w:tc>
          <w:tcPr>
            <w:tcW w:type="dxa" w:w="3312"/>
            <w:vAlign w:val="center"/>
          </w:tcPr>
          <w:p>
            <w:r/>
            <w:r>
              <w:rPr>
                <w:b w:val="0"/>
                <w:sz w:val="17"/>
              </w:rPr>
              <w:t>Poor data quality</w:t>
            </w:r>
          </w:p>
        </w:tc>
        <w:tc>
          <w:tcPr>
            <w:tcW w:type="dxa" w:w="3312"/>
            <w:vAlign w:val="center"/>
          </w:tcPr>
          <w:p>
            <w:r/>
            <w:r>
              <w:rPr>
                <w:b w:val="0"/>
                <w:sz w:val="17"/>
              </w:rPr>
              <w:t>Outputs become unreliable or difficult to validate.</w:t>
            </w:r>
          </w:p>
        </w:tc>
        <w:tc>
          <w:tcPr>
            <w:tcW w:type="dxa" w:w="3312"/>
            <w:vAlign w:val="center"/>
          </w:tcPr>
          <w:p>
            <w:r/>
            <w:r>
              <w:rPr>
                <w:b w:val="0"/>
                <w:sz w:val="17"/>
              </w:rPr>
              <w:t>Data profiling, source-of-truth rules, quality thresholds and stewardship.</w:t>
            </w:r>
          </w:p>
        </w:tc>
      </w:tr>
      <w:tr>
        <w:tc>
          <w:tcPr>
            <w:tcW w:type="dxa" w:w="3312"/>
            <w:vAlign w:val="center"/>
          </w:tcPr>
          <w:p>
            <w:r/>
            <w:r>
              <w:rPr>
                <w:b w:val="0"/>
                <w:sz w:val="17"/>
              </w:rPr>
              <w:t>Shadow AI</w:t>
            </w:r>
          </w:p>
        </w:tc>
        <w:tc>
          <w:tcPr>
            <w:tcW w:type="dxa" w:w="3312"/>
            <w:vAlign w:val="center"/>
          </w:tcPr>
          <w:p>
            <w:r/>
            <w:r>
              <w:rPr>
                <w:b w:val="0"/>
                <w:sz w:val="17"/>
              </w:rPr>
              <w:t>Unapproved tools can expose data and create inconsistent practices.</w:t>
            </w:r>
          </w:p>
        </w:tc>
        <w:tc>
          <w:tcPr>
            <w:tcW w:type="dxa" w:w="3312"/>
            <w:vAlign w:val="center"/>
          </w:tcPr>
          <w:p>
            <w:r/>
            <w:r>
              <w:rPr>
                <w:b w:val="0"/>
                <w:sz w:val="17"/>
              </w:rPr>
              <w:t>Approved tool catalog, simple intake process, awareness training and monitoring.</w:t>
            </w:r>
          </w:p>
        </w:tc>
      </w:tr>
      <w:tr>
        <w:tc>
          <w:tcPr>
            <w:tcW w:type="dxa" w:w="3312"/>
            <w:vAlign w:val="center"/>
          </w:tcPr>
          <w:p>
            <w:r/>
            <w:r>
              <w:rPr>
                <w:b w:val="0"/>
                <w:sz w:val="17"/>
              </w:rPr>
              <w:t>Over-automation</w:t>
            </w:r>
          </w:p>
        </w:tc>
        <w:tc>
          <w:tcPr>
            <w:tcW w:type="dxa" w:w="3312"/>
            <w:vAlign w:val="center"/>
          </w:tcPr>
          <w:p>
            <w:r/>
            <w:r>
              <w:rPr>
                <w:b w:val="0"/>
                <w:sz w:val="17"/>
              </w:rPr>
              <w:t>Automation can remove necessary human judgment.</w:t>
            </w:r>
          </w:p>
        </w:tc>
        <w:tc>
          <w:tcPr>
            <w:tcW w:type="dxa" w:w="3312"/>
            <w:vAlign w:val="center"/>
          </w:tcPr>
          <w:p>
            <w:r/>
            <w:r>
              <w:rPr>
                <w:b w:val="0"/>
                <w:sz w:val="17"/>
              </w:rPr>
              <w:t>Risk-tiered autonomy and mandatory human approval for consequential actions.</w:t>
            </w:r>
          </w:p>
        </w:tc>
      </w:tr>
      <w:tr>
        <w:tc>
          <w:tcPr>
            <w:tcW w:type="dxa" w:w="3312"/>
            <w:vAlign w:val="center"/>
          </w:tcPr>
          <w:p>
            <w:r/>
            <w:r>
              <w:rPr>
                <w:b w:val="0"/>
                <w:sz w:val="17"/>
              </w:rPr>
              <w:t>Rapid technology change</w:t>
            </w:r>
          </w:p>
        </w:tc>
        <w:tc>
          <w:tcPr>
            <w:tcW w:type="dxa" w:w="3312"/>
            <w:vAlign w:val="center"/>
          </w:tcPr>
          <w:p>
            <w:r/>
            <w:r>
              <w:rPr>
                <w:b w:val="0"/>
                <w:sz w:val="17"/>
              </w:rPr>
              <w:t>Solutions can become outdated or expensive.</w:t>
            </w:r>
          </w:p>
        </w:tc>
        <w:tc>
          <w:tcPr>
            <w:tcW w:type="dxa" w:w="3312"/>
            <w:vAlign w:val="center"/>
          </w:tcPr>
          <w:p>
            <w:r/>
            <w:r>
              <w:rPr>
                <w:b w:val="0"/>
                <w:sz w:val="17"/>
              </w:rPr>
              <w:t>Modular architecture, quarterly portfolio reviews and vendor/model evaluation.</w:t>
            </w:r>
          </w:p>
        </w:tc>
      </w:tr>
      <w:tr>
        <w:tc>
          <w:tcPr>
            <w:tcW w:type="dxa" w:w="3312"/>
            <w:vAlign w:val="center"/>
          </w:tcPr>
          <w:p>
            <w:r/>
            <w:r>
              <w:rPr>
                <w:b w:val="0"/>
                <w:sz w:val="17"/>
              </w:rPr>
              <w:t>Change resistance</w:t>
            </w:r>
          </w:p>
        </w:tc>
        <w:tc>
          <w:tcPr>
            <w:tcW w:type="dxa" w:w="3312"/>
            <w:vAlign w:val="center"/>
          </w:tcPr>
          <w:p>
            <w:r/>
            <w:r>
              <w:rPr>
                <w:b w:val="0"/>
                <w:sz w:val="17"/>
              </w:rPr>
              <w:t>Users may not trust or adopt the solution.</w:t>
            </w:r>
          </w:p>
        </w:tc>
        <w:tc>
          <w:tcPr>
            <w:tcW w:type="dxa" w:w="3312"/>
            <w:vAlign w:val="center"/>
          </w:tcPr>
          <w:p>
            <w:r/>
            <w:r>
              <w:rPr>
                <w:b w:val="0"/>
                <w:sz w:val="17"/>
              </w:rPr>
              <w:t>Involve users early, communicate limits, train staff and measure adoption.</w:t>
            </w:r>
          </w:p>
        </w:tc>
      </w:tr>
      <w:tr>
        <w:tc>
          <w:tcPr>
            <w:tcW w:type="dxa" w:w="3312"/>
            <w:vAlign w:val="center"/>
          </w:tcPr>
          <w:p>
            <w:r/>
            <w:r>
              <w:rPr>
                <w:b w:val="0"/>
                <w:sz w:val="17"/>
              </w:rPr>
              <w:t>Weak monitoring</w:t>
            </w:r>
          </w:p>
        </w:tc>
        <w:tc>
          <w:tcPr>
            <w:tcW w:type="dxa" w:w="3312"/>
            <w:vAlign w:val="center"/>
          </w:tcPr>
          <w:p>
            <w:r/>
            <w:r>
              <w:rPr>
                <w:b w:val="0"/>
                <w:sz w:val="17"/>
              </w:rPr>
              <w:t>Problems may appear only after deployment.</w:t>
            </w:r>
          </w:p>
        </w:tc>
        <w:tc>
          <w:tcPr>
            <w:tcW w:type="dxa" w:w="3312"/>
            <w:vAlign w:val="center"/>
          </w:tcPr>
          <w:p>
            <w:r/>
            <w:r>
              <w:rPr>
                <w:b w:val="0"/>
                <w:sz w:val="17"/>
              </w:rPr>
              <w:t>Production telemetry, quality sampling, incident tracking and scheduled re-evaluation.</w:t>
            </w:r>
          </w:p>
        </w:tc>
      </w:tr>
      <w:tr>
        <w:tc>
          <w:tcPr>
            <w:tcW w:type="dxa" w:w="3312"/>
            <w:vAlign w:val="center"/>
          </w:tcPr>
          <w:p>
            <w:r/>
            <w:r>
              <w:rPr>
                <w:b w:val="0"/>
                <w:sz w:val="17"/>
              </w:rPr>
              <w:t>Benefit overestimation</w:t>
            </w:r>
          </w:p>
        </w:tc>
        <w:tc>
          <w:tcPr>
            <w:tcW w:type="dxa" w:w="3312"/>
            <w:vAlign w:val="center"/>
          </w:tcPr>
          <w:p>
            <w:r/>
            <w:r>
              <w:rPr>
                <w:b w:val="0"/>
                <w:sz w:val="17"/>
              </w:rPr>
              <w:t>Savings may not materialize if workflows are not redesigned.</w:t>
            </w:r>
          </w:p>
        </w:tc>
        <w:tc>
          <w:tcPr>
            <w:tcW w:type="dxa" w:w="3312"/>
            <w:vAlign w:val="center"/>
          </w:tcPr>
          <w:p>
            <w:r/>
            <w:r>
              <w:rPr>
                <w:b w:val="0"/>
                <w:sz w:val="17"/>
              </w:rPr>
              <w:t>Measure realized outcomes, not only model accuracy.</w:t>
            </w:r>
          </w:p>
        </w:tc>
      </w:tr>
    </w:tbl>
    <w:p/>
    <w:p>
      <w:pPr>
        <w:pStyle w:val="Heading1"/>
      </w:pPr>
      <w:r>
        <w:t>11. Success Metrics and Reporting Dashboard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Metric category</w:t>
            </w:r>
          </w:p>
        </w:tc>
        <w:tc>
          <w:tcPr>
            <w:tcW w:type="dxa" w:w="3312"/>
            <w:vAlign w:val="center"/>
            <w:shd w:fill="D9EAF7"/>
          </w:tcPr>
          <w:p>
            <w:r/>
            <w:r>
              <w:rPr>
                <w:b/>
                <w:sz w:val="18"/>
              </w:rPr>
              <w:t>Example measures</w:t>
            </w:r>
          </w:p>
        </w:tc>
        <w:tc>
          <w:tcPr>
            <w:tcW w:type="dxa" w:w="3312"/>
            <w:vAlign w:val="center"/>
            <w:shd w:fill="D9EAF7"/>
          </w:tcPr>
          <w:p>
            <w:r/>
            <w:r>
              <w:rPr>
                <w:b/>
                <w:sz w:val="18"/>
              </w:rPr>
              <w:t>Review frequency</w:t>
            </w:r>
          </w:p>
        </w:tc>
      </w:tr>
      <w:tr>
        <w:tc>
          <w:tcPr>
            <w:tcW w:type="dxa" w:w="3312"/>
            <w:vAlign w:val="center"/>
          </w:tcPr>
          <w:p>
            <w:r/>
            <w:r>
              <w:rPr>
                <w:b w:val="0"/>
                <w:sz w:val="17"/>
              </w:rPr>
              <w:t>Business value</w:t>
            </w:r>
          </w:p>
        </w:tc>
        <w:tc>
          <w:tcPr>
            <w:tcW w:type="dxa" w:w="3312"/>
            <w:vAlign w:val="center"/>
          </w:tcPr>
          <w:p>
            <w:r/>
            <w:r>
              <w:rPr>
                <w:b w:val="0"/>
                <w:sz w:val="17"/>
              </w:rPr>
              <w:t>Hours saved, cycle time, revenue/cost impact, quality</w:t>
            </w:r>
          </w:p>
        </w:tc>
        <w:tc>
          <w:tcPr>
            <w:tcW w:type="dxa" w:w="3312"/>
            <w:vAlign w:val="center"/>
          </w:tcPr>
          <w:p>
            <w:r/>
            <w:r>
              <w:rPr>
                <w:b w:val="0"/>
                <w:sz w:val="17"/>
              </w:rPr>
              <w:t>Monthly</w:t>
            </w:r>
          </w:p>
        </w:tc>
      </w:tr>
      <w:tr>
        <w:tc>
          <w:tcPr>
            <w:tcW w:type="dxa" w:w="3312"/>
            <w:vAlign w:val="center"/>
          </w:tcPr>
          <w:p>
            <w:r/>
            <w:r>
              <w:rPr>
                <w:b w:val="0"/>
                <w:sz w:val="17"/>
              </w:rPr>
              <w:t>Adoption</w:t>
            </w:r>
          </w:p>
        </w:tc>
        <w:tc>
          <w:tcPr>
            <w:tcW w:type="dxa" w:w="3312"/>
            <w:vAlign w:val="center"/>
          </w:tcPr>
          <w:p>
            <w:r/>
            <w:r>
              <w:rPr>
                <w:b w:val="0"/>
                <w:sz w:val="17"/>
              </w:rPr>
              <w:t>Active users, task coverage, repeat use, satisfaction</w:t>
            </w:r>
          </w:p>
        </w:tc>
        <w:tc>
          <w:tcPr>
            <w:tcW w:type="dxa" w:w="3312"/>
            <w:vAlign w:val="center"/>
          </w:tcPr>
          <w:p>
            <w:r/>
            <w:r>
              <w:rPr>
                <w:b w:val="0"/>
                <w:sz w:val="17"/>
              </w:rPr>
              <w:t>Weekly/monthly</w:t>
            </w:r>
          </w:p>
        </w:tc>
      </w:tr>
      <w:tr>
        <w:tc>
          <w:tcPr>
            <w:tcW w:type="dxa" w:w="3312"/>
            <w:vAlign w:val="center"/>
          </w:tcPr>
          <w:p>
            <w:r/>
            <w:r>
              <w:rPr>
                <w:b w:val="0"/>
                <w:sz w:val="17"/>
              </w:rPr>
              <w:t>AI quality</w:t>
            </w:r>
          </w:p>
        </w:tc>
        <w:tc>
          <w:tcPr>
            <w:tcW w:type="dxa" w:w="3312"/>
            <w:vAlign w:val="center"/>
          </w:tcPr>
          <w:p>
            <w:r/>
            <w:r>
              <w:rPr>
                <w:b w:val="0"/>
                <w:sz w:val="17"/>
              </w:rPr>
              <w:t>Accuracy, groundedness, task success, escalation rate</w:t>
            </w:r>
          </w:p>
        </w:tc>
        <w:tc>
          <w:tcPr>
            <w:tcW w:type="dxa" w:w="3312"/>
            <w:vAlign w:val="center"/>
          </w:tcPr>
          <w:p>
            <w:r/>
            <w:r>
              <w:rPr>
                <w:b w:val="0"/>
                <w:sz w:val="17"/>
              </w:rPr>
              <w:t>Weekly/monthly</w:t>
            </w:r>
          </w:p>
        </w:tc>
      </w:tr>
      <w:tr>
        <w:tc>
          <w:tcPr>
            <w:tcW w:type="dxa" w:w="3312"/>
            <w:vAlign w:val="center"/>
          </w:tcPr>
          <w:p>
            <w:r/>
            <w:r>
              <w:rPr>
                <w:b w:val="0"/>
                <w:sz w:val="17"/>
              </w:rPr>
              <w:t>Risk</w:t>
            </w:r>
          </w:p>
        </w:tc>
        <w:tc>
          <w:tcPr>
            <w:tcW w:type="dxa" w:w="3312"/>
            <w:vAlign w:val="center"/>
          </w:tcPr>
          <w:p>
            <w:r/>
            <w:r>
              <w:rPr>
                <w:b w:val="0"/>
                <w:sz w:val="17"/>
              </w:rPr>
              <w:t>Open risks, incidents, severity, remediation time</w:t>
            </w:r>
          </w:p>
        </w:tc>
        <w:tc>
          <w:tcPr>
            <w:tcW w:type="dxa" w:w="3312"/>
            <w:vAlign w:val="center"/>
          </w:tcPr>
          <w:p>
            <w:r/>
            <w:r>
              <w:rPr>
                <w:b w:val="0"/>
                <w:sz w:val="17"/>
              </w:rPr>
              <w:t>Monthly</w:t>
            </w:r>
          </w:p>
        </w:tc>
      </w:tr>
      <w:tr>
        <w:tc>
          <w:tcPr>
            <w:tcW w:type="dxa" w:w="3312"/>
            <w:vAlign w:val="center"/>
          </w:tcPr>
          <w:p>
            <w:r/>
            <w:r>
              <w:rPr>
                <w:b w:val="0"/>
                <w:sz w:val="17"/>
              </w:rPr>
              <w:t>Security</w:t>
            </w:r>
          </w:p>
        </w:tc>
        <w:tc>
          <w:tcPr>
            <w:tcW w:type="dxa" w:w="3312"/>
            <w:vAlign w:val="center"/>
          </w:tcPr>
          <w:p>
            <w:r/>
            <w:r>
              <w:rPr>
                <w:b w:val="0"/>
                <w:sz w:val="17"/>
              </w:rPr>
              <w:t>Access exceptions, security findings, suspicious activity</w:t>
            </w:r>
          </w:p>
        </w:tc>
        <w:tc>
          <w:tcPr>
            <w:tcW w:type="dxa" w:w="3312"/>
            <w:vAlign w:val="center"/>
          </w:tcPr>
          <w:p>
            <w:r/>
            <w:r>
              <w:rPr>
                <w:b w:val="0"/>
                <w:sz w:val="17"/>
              </w:rPr>
              <w:t>Monthly/continuous</w:t>
            </w:r>
          </w:p>
        </w:tc>
      </w:tr>
      <w:tr>
        <w:tc>
          <w:tcPr>
            <w:tcW w:type="dxa" w:w="3312"/>
            <w:vAlign w:val="center"/>
          </w:tcPr>
          <w:p>
            <w:r/>
            <w:r>
              <w:rPr>
                <w:b w:val="0"/>
                <w:sz w:val="17"/>
              </w:rPr>
              <w:t>Reliability</w:t>
            </w:r>
          </w:p>
        </w:tc>
        <w:tc>
          <w:tcPr>
            <w:tcW w:type="dxa" w:w="3312"/>
            <w:vAlign w:val="center"/>
          </w:tcPr>
          <w:p>
            <w:r/>
            <w:r>
              <w:rPr>
                <w:b w:val="0"/>
                <w:sz w:val="17"/>
              </w:rPr>
              <w:t>Availability, latency, failure rate</w:t>
            </w:r>
          </w:p>
        </w:tc>
        <w:tc>
          <w:tcPr>
            <w:tcW w:type="dxa" w:w="3312"/>
            <w:vAlign w:val="center"/>
          </w:tcPr>
          <w:p>
            <w:r/>
            <w:r>
              <w:rPr>
                <w:b w:val="0"/>
                <w:sz w:val="17"/>
              </w:rPr>
              <w:t>Continuous/monthly</w:t>
            </w:r>
          </w:p>
        </w:tc>
      </w:tr>
      <w:tr>
        <w:tc>
          <w:tcPr>
            <w:tcW w:type="dxa" w:w="3312"/>
            <w:vAlign w:val="center"/>
          </w:tcPr>
          <w:p>
            <w:r/>
            <w:r>
              <w:rPr>
                <w:b w:val="0"/>
                <w:sz w:val="17"/>
              </w:rPr>
              <w:t>Cost</w:t>
            </w:r>
          </w:p>
        </w:tc>
        <w:tc>
          <w:tcPr>
            <w:tcW w:type="dxa" w:w="3312"/>
            <w:vAlign w:val="center"/>
          </w:tcPr>
          <w:p>
            <w:r/>
            <w:r>
              <w:rPr>
                <w:b w:val="0"/>
                <w:sz w:val="17"/>
              </w:rPr>
              <w:t>Usage, inference/licensing spend, cost per task</w:t>
            </w:r>
          </w:p>
        </w:tc>
        <w:tc>
          <w:tcPr>
            <w:tcW w:type="dxa" w:w="3312"/>
            <w:vAlign w:val="center"/>
          </w:tcPr>
          <w:p>
            <w:r/>
            <w:r>
              <w:rPr>
                <w:b w:val="0"/>
                <w:sz w:val="17"/>
              </w:rPr>
              <w:t>Weekly/monthly</w:t>
            </w:r>
          </w:p>
        </w:tc>
      </w:tr>
      <w:tr>
        <w:tc>
          <w:tcPr>
            <w:tcW w:type="dxa" w:w="3312"/>
            <w:vAlign w:val="center"/>
          </w:tcPr>
          <w:p>
            <w:r/>
            <w:r>
              <w:rPr>
                <w:b w:val="0"/>
                <w:sz w:val="17"/>
              </w:rPr>
              <w:t>Governance</w:t>
            </w:r>
          </w:p>
        </w:tc>
        <w:tc>
          <w:tcPr>
            <w:tcW w:type="dxa" w:w="3312"/>
            <w:vAlign w:val="center"/>
          </w:tcPr>
          <w:p>
            <w:r/>
            <w:r>
              <w:rPr>
                <w:b w:val="0"/>
                <w:sz w:val="17"/>
              </w:rPr>
              <w:t>Inventory coverage, assessments completed, review currency</w:t>
            </w:r>
          </w:p>
        </w:tc>
        <w:tc>
          <w:tcPr>
            <w:tcW w:type="dxa" w:w="3312"/>
            <w:vAlign w:val="center"/>
          </w:tcPr>
          <w:p>
            <w:r/>
            <w:r>
              <w:rPr>
                <w:b w:val="0"/>
                <w:sz w:val="17"/>
              </w:rPr>
              <w:t>Monthly/quarterly</w:t>
            </w:r>
          </w:p>
        </w:tc>
      </w:tr>
    </w:tbl>
    <w:p/>
    <w:p>
      <w:pPr>
        <w:pStyle w:val="Heading2"/>
      </w:pPr>
      <w:r>
        <w:t>Go/No-Go Criteria for Production</w:t>
      </w:r>
    </w:p>
    <w:p>
      <w:pPr>
        <w:pStyle w:val="ListBullet"/>
      </w:pPr>
      <w:r>
        <w:t>The business owner confirms that the solution addresses the intended process and KPI.</w:t>
      </w:r>
    </w:p>
    <w:p>
      <w:pPr>
        <w:pStyle w:val="ListBullet"/>
      </w:pPr>
      <w:r>
        <w:t>Evaluation results meet predefined quality thresholds on representative test cases.</w:t>
      </w:r>
    </w:p>
    <w:p>
      <w:pPr>
        <w:pStyle w:val="ListBullet"/>
      </w:pPr>
      <w:r>
        <w:t>Security, privacy and legal/compliance reviews are completed for the applicable risk tier.</w:t>
      </w:r>
    </w:p>
    <w:p>
      <w:pPr>
        <w:pStyle w:val="ListBullet"/>
      </w:pPr>
      <w:r>
        <w:t>Human oversight and escalation procedures are operational.</w:t>
      </w:r>
    </w:p>
    <w:p>
      <w:pPr>
        <w:pStyle w:val="ListBullet"/>
      </w:pPr>
      <w:r>
        <w:t>Monitoring, logging, support ownership and incident response are ready.</w:t>
      </w:r>
    </w:p>
    <w:p>
      <w:pPr>
        <w:pStyle w:val="ListBullet"/>
      </w:pPr>
      <w:r>
        <w:t>Unit economics are acceptable and the expected benefit is supported by pilot evidence.</w:t>
      </w:r>
    </w:p>
    <w:p>
      <w:pPr>
        <w:pStyle w:val="ListBullet"/>
      </w:pPr>
      <w:r>
        <w:t>Rollback or safe-disable procedures have been tested.</w:t>
      </w:r>
    </w:p>
    <w:p>
      <w:pPr>
        <w:pStyle w:val="Heading1"/>
      </w:pPr>
      <w:r>
        <w:t>12. AI Operations Analyst Workplan</w:t>
      </w:r>
    </w:p>
    <w:p>
      <w:r>
        <w:t>The analyst’s work should be organized around repeatable planning cycles.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Cadence</w:t>
            </w:r>
          </w:p>
        </w:tc>
        <w:tc>
          <w:tcPr>
            <w:tcW w:type="dxa" w:w="4968"/>
            <w:vAlign w:val="center"/>
            <w:shd w:fill="D9EAF7"/>
          </w:tcPr>
          <w:p>
            <w:r/>
            <w:r>
              <w:rPr>
                <w:b/>
                <w:sz w:val="18"/>
              </w:rPr>
              <w:t>Analyst activities</w:t>
            </w:r>
          </w:p>
        </w:tc>
      </w:tr>
      <w:tr>
        <w:tc>
          <w:tcPr>
            <w:tcW w:type="dxa" w:w="4968"/>
            <w:vAlign w:val="center"/>
          </w:tcPr>
          <w:p>
            <w:r/>
            <w:r>
              <w:rPr>
                <w:b w:val="0"/>
                <w:sz w:val="17"/>
              </w:rPr>
              <w:t>Daily / as needed</w:t>
            </w:r>
          </w:p>
        </w:tc>
        <w:tc>
          <w:tcPr>
            <w:tcW w:type="dxa" w:w="4968"/>
            <w:vAlign w:val="center"/>
          </w:tcPr>
          <w:p>
            <w:r/>
            <w:r>
              <w:rPr>
                <w:b w:val="0"/>
                <w:sz w:val="17"/>
              </w:rPr>
              <w:t>Track incidents, blockers, high-priority risks and deployment changes.</w:t>
            </w:r>
          </w:p>
        </w:tc>
      </w:tr>
      <w:tr>
        <w:tc>
          <w:tcPr>
            <w:tcW w:type="dxa" w:w="4968"/>
            <w:vAlign w:val="center"/>
          </w:tcPr>
          <w:p>
            <w:r/>
            <w:r>
              <w:rPr>
                <w:b w:val="0"/>
                <w:sz w:val="17"/>
              </w:rPr>
              <w:t>Weekly</w:t>
            </w:r>
          </w:p>
        </w:tc>
        <w:tc>
          <w:tcPr>
            <w:tcW w:type="dxa" w:w="4968"/>
            <w:vAlign w:val="center"/>
          </w:tcPr>
          <w:p>
            <w:r/>
            <w:r>
              <w:rPr>
                <w:b w:val="0"/>
                <w:sz w:val="17"/>
              </w:rPr>
              <w:t>Update use-case pipeline, pilot status, adoption, costs and action log.</w:t>
            </w:r>
          </w:p>
        </w:tc>
      </w:tr>
      <w:tr>
        <w:tc>
          <w:tcPr>
            <w:tcW w:type="dxa" w:w="4968"/>
            <w:vAlign w:val="center"/>
          </w:tcPr>
          <w:p>
            <w:r/>
            <w:r>
              <w:rPr>
                <w:b w:val="0"/>
                <w:sz w:val="17"/>
              </w:rPr>
              <w:t>Monthly</w:t>
            </w:r>
          </w:p>
        </w:tc>
        <w:tc>
          <w:tcPr>
            <w:tcW w:type="dxa" w:w="4968"/>
            <w:vAlign w:val="center"/>
          </w:tcPr>
          <w:p>
            <w:r/>
            <w:r>
              <w:rPr>
                <w:b w:val="0"/>
                <w:sz w:val="17"/>
              </w:rPr>
              <w:t>Prepare AI operations dashboard; review benefits, risks, vendor issues and resource capacity.</w:t>
            </w:r>
          </w:p>
        </w:tc>
      </w:tr>
      <w:tr>
        <w:tc>
          <w:tcPr>
            <w:tcW w:type="dxa" w:w="4968"/>
            <w:vAlign w:val="center"/>
          </w:tcPr>
          <w:p>
            <w:r/>
            <w:r>
              <w:rPr>
                <w:b w:val="0"/>
                <w:sz w:val="17"/>
              </w:rPr>
              <w:t>Quarterly</w:t>
            </w:r>
          </w:p>
        </w:tc>
        <w:tc>
          <w:tcPr>
            <w:tcW w:type="dxa" w:w="4968"/>
            <w:vAlign w:val="center"/>
          </w:tcPr>
          <w:p>
            <w:r/>
            <w:r>
              <w:rPr>
                <w:b w:val="0"/>
                <w:sz w:val="17"/>
              </w:rPr>
              <w:t>Re-rank portfolio, review strategic alignment, audit governance controls, assess technology changes and update roadmap.</w:t>
            </w:r>
          </w:p>
        </w:tc>
      </w:tr>
      <w:tr>
        <w:tc>
          <w:tcPr>
            <w:tcW w:type="dxa" w:w="4968"/>
            <w:vAlign w:val="center"/>
          </w:tcPr>
          <w:p>
            <w:r/>
            <w:r>
              <w:rPr>
                <w:b w:val="0"/>
                <w:sz w:val="17"/>
              </w:rPr>
              <w:t>Annually</w:t>
            </w:r>
          </w:p>
        </w:tc>
        <w:tc>
          <w:tcPr>
            <w:tcW w:type="dxa" w:w="4968"/>
            <w:vAlign w:val="center"/>
          </w:tcPr>
          <w:p>
            <w:r/>
            <w:r>
              <w:rPr>
                <w:b w:val="0"/>
                <w:sz w:val="17"/>
              </w:rPr>
              <w:t>Refresh AI strategy, policies, target architecture, skills plan, budget and operating model.</w:t>
            </w:r>
          </w:p>
        </w:tc>
      </w:tr>
    </w:tbl>
    <w:p/>
    <w:p>
      <w:pPr>
        <w:pStyle w:val="Heading1"/>
      </w:pPr>
      <w:r>
        <w:t>13. Initial Deliverables Checklist</w:t>
      </w:r>
    </w:p>
    <w:p>
      <w:pPr>
        <w:pStyle w:val="ListBullet"/>
      </w:pPr>
      <w:r>
        <w:t>AI strategy and operating model</w:t>
      </w:r>
    </w:p>
    <w:p>
      <w:pPr>
        <w:pStyle w:val="ListBullet"/>
      </w:pPr>
      <w:r>
        <w:t>AI use-case inventory and prioritization matrix</w:t>
      </w:r>
    </w:p>
    <w:p>
      <w:pPr>
        <w:pStyle w:val="ListBullet"/>
      </w:pPr>
      <w:r>
        <w:t>AI system inventory / register</w:t>
      </w:r>
    </w:p>
    <w:p>
      <w:pPr>
        <w:pStyle w:val="ListBullet"/>
      </w:pPr>
      <w:r>
        <w:t>Risk classification and assessment template</w:t>
      </w:r>
    </w:p>
    <w:p>
      <w:pPr>
        <w:pStyle w:val="ListBullet"/>
      </w:pPr>
      <w:r>
        <w:t>Data readiness assessment</w:t>
      </w:r>
    </w:p>
    <w:p>
      <w:pPr>
        <w:pStyle w:val="ListBullet"/>
      </w:pPr>
      <w:r>
        <w:t>Technology/vendor evaluation scorecard</w:t>
      </w:r>
    </w:p>
    <w:p>
      <w:pPr>
        <w:pStyle w:val="ListBullet"/>
      </w:pPr>
      <w:r>
        <w:t>Pilot charter and evaluation plan</w:t>
      </w:r>
    </w:p>
    <w:p>
      <w:pPr>
        <w:pStyle w:val="ListBullet"/>
      </w:pPr>
      <w:r>
        <w:t>AI governance policy and approval workflow</w:t>
      </w:r>
    </w:p>
    <w:p>
      <w:pPr>
        <w:pStyle w:val="ListBullet"/>
      </w:pPr>
      <w:r>
        <w:t>Production monitoring and incident runbook</w:t>
      </w:r>
    </w:p>
    <w:p>
      <w:pPr>
        <w:pStyle w:val="ListBullet"/>
      </w:pPr>
      <w:r>
        <w:t>Training and change-management plan</w:t>
      </w:r>
    </w:p>
    <w:p>
      <w:pPr>
        <w:pStyle w:val="ListBullet"/>
      </w:pPr>
      <w:r>
        <w:t>Benefits-realization dashboard</w:t>
      </w:r>
    </w:p>
    <w:p>
      <w:pPr>
        <w:pStyle w:val="ListBullet"/>
      </w:pPr>
      <w:r>
        <w:t>12-month implementation roadmap</w:t>
      </w:r>
    </w:p>
    <w:p>
      <w:pPr>
        <w:pStyle w:val="Heading1"/>
      </w:pPr>
      <w:r>
        <w:t>14. Conclusion</w:t>
      </w:r>
    </w:p>
    <w:p>
      <w:r>
        <w:t>The recommended pathway is deliberately incremental: establish governance and measurable objectives first, prioritize a small portfolio of practical use cases, prove value through controlled pilots, and then scale only what demonstrates acceptable quality, risk and economics. This approach reduces the risk of uncontrolled experimentation while allowing the organization to build reusable AI capabilities.</w:t>
      </w:r>
    </w:p>
    <w:p>
      <w:r>
        <w:t>For an AI Operations Analyst, the central responsibility is not simply to select an AI model. It is to create the operating conditions under which AI can produce reliable business value: clear ownership, appropriate technology, usable data, trained people, measurable outcomes, security and risk controls, and continuous monitoring.</w:t>
      </w:r>
    </w:p>
    <w:p>
      <w:pPr>
        <w:pStyle w:val="Heading1"/>
      </w:pPr>
      <w:r>
        <w:t>15. Research References</w:t>
      </w:r>
    </w:p>
    <w:p>
      <w:r>
        <w:rPr>
          <w:b/>
        </w:rPr>
        <w:t>NIST – AI Risk Management Framework</w:t>
      </w:r>
      <w:r>
        <w:br/>
        <w:t>https://www.nist.gov/itl/ai-risk-management-framework</w:t>
        <w:br/>
        <w:t>Framework for managing AI risks and promoting trustworthy and responsible AI across the lifecycle.</w:t>
      </w:r>
    </w:p>
    <w:p>
      <w:r>
        <w:rPr>
          <w:b/>
        </w:rPr>
        <w:t>NIST – AI RMF Playbook / AI Resource Center</w:t>
      </w:r>
      <w:r>
        <w:br/>
        <w:t>https://airc.nist.gov/</w:t>
        <w:br/>
        <w:t>Implementation-oriented guidance organized around Govern, Map, Measure and Manage.</w:t>
      </w:r>
    </w:p>
    <w:p>
      <w:r>
        <w:rPr>
          <w:b/>
        </w:rPr>
        <w:t>NIST – Challenges to monitoring deployed AI systems</w:t>
      </w:r>
      <w:r>
        <w:br/>
        <w:t>https://www.nist.gov/publications/challenges-monitoring-deployed-ai-systems-center-ai-standards-and-innovation</w:t>
        <w:br/>
        <w:t>2026 publication emphasizing the need for post-deployment monitoring and the emerging nature of monitoring practices.</w:t>
      </w:r>
    </w:p>
    <w:p>
      <w:r>
        <w:rPr>
          <w:b/>
        </w:rPr>
        <w:t>ISO/IEC 42001:2023 – AI Management Systems</w:t>
      </w:r>
      <w:r>
        <w:br/>
        <w:t>https://www.iso.org/standard/42001</w:t>
        <w:br/>
        <w:t>International standard for establishing, implementing, maintaining and continually improving an AI management system.</w:t>
      </w:r>
    </w:p>
    <w:p>
      <w:r>
        <w:rPr>
          <w:b/>
        </w:rPr>
        <w:t>ISO – AI management systems: What businesses need to know</w:t>
      </w:r>
      <w:r>
        <w:br/>
        <w:t>https://www.iso.org/artificial-intelligence/ai-management-systems</w:t>
        <w:br/>
        <w:t>Overview of AI governance, risk, accountability, transparency, privacy and continual improvement.</w:t>
      </w:r>
    </w:p>
    <w:p>
      <w:r>
        <w:rPr>
          <w:b/>
        </w:rPr>
        <w:t>ISO – Responsible AI governance and impact standards package</w:t>
      </w:r>
      <w:r>
        <w:br/>
        <w:t>https://www.iso.org/publication/PUB200420.html</w:t>
        <w:br/>
        <w:t>Overview of ISO/IEC 42001 and ISO/IEC 42005 for AI governance and impact assessment.</w:t>
      </w:r>
    </w:p>
    <w:p/>
    <w:p>
      <w:pPr>
        <w:pStyle w:val="SmallNote"/>
      </w:pPr>
      <w:r>
        <w:t>Note: This is a simulated strategic plan for an academic/task scenario. It should be tailored to the actual organization, industry, regulatory environment, data landscape and available resources before operational use.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AI Operations Strategic Plan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