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Instruction-Level Parallelism in Modern Processors: A Review of Contemporary Research and Future Directions</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Sai Akhil Kumar Ponnaganti</w:t>
      </w:r>
    </w:p>
    <w:p>
      <w:pPr>
        <w:spacing w:line="480" w:lineRule="auto"/>
        <w:jc w:val="center"/>
      </w:pPr>
      <w:r>
        <w:rPr>
          <w:rFonts w:ascii="Times New Roman" w:cs="Times New Roman" w:eastAsia="Times New Roman" w:hAnsi="Times New Roman"/>
          <w:sz w:val="24"/>
          <w:szCs w:val="24"/>
        </w:rPr>
        <w:t xml:space="preserve">University of the Cumberlands</w:t>
      </w:r>
    </w:p>
    <w:p>
      <w:pPr>
        <w:spacing w:line="480" w:lineRule="auto"/>
        <w:jc w:val="center"/>
      </w:pPr>
      <w:r>
        <w:rPr>
          <w:rFonts w:ascii="Times New Roman" w:cs="Times New Roman" w:eastAsia="Times New Roman" w:hAnsi="Times New Roman"/>
          <w:sz w:val="24"/>
          <w:szCs w:val="24"/>
        </w:rPr>
        <w:t xml:space="preserve">Computer Architecture and Design (MSCS-531-A01)</w:t>
      </w:r>
    </w:p>
    <w:p>
      <w:pPr>
        <w:spacing w:line="480" w:lineRule="auto"/>
        <w:jc w:val="center"/>
      </w:pPr>
      <w:r>
        <w:rPr>
          <w:rFonts w:ascii="Times New Roman" w:cs="Times New Roman" w:eastAsia="Times New Roman" w:hAnsi="Times New Roman"/>
          <w:sz w:val="24"/>
          <w:szCs w:val="24"/>
        </w:rPr>
        <w:t xml:space="preserve">Dr. Gary Perry</w:t>
      </w:r>
    </w:p>
    <w:p>
      <w:pPr>
        <w:spacing w:line="480" w:lineRule="auto"/>
        <w:jc w:val="center"/>
      </w:pPr>
      <w:r>
        <w:rPr>
          <w:rFonts w:ascii="Times New Roman" w:cs="Times New Roman" w:eastAsia="Times New Roman" w:hAnsi="Times New Roman"/>
          <w:sz w:val="24"/>
          <w:szCs w:val="24"/>
        </w:rPr>
        <w:t xml:space="preserve">September 20, 2026</w:t>
      </w:r>
    </w:p>
    <w:p>
      <w:pPr>
        <w:sectPr>
          <w:headerReference w:type="default" r:id="rId7"/>
          <w:pgSz w:w="12240" w:h="15840" w:orient="portrait"/>
          <w:pgMar w:top="1440" w:right="1440" w:bottom="1440" w:left="1440" w:header="708" w:footer="708" w:gutter="0"/>
          <w:pgNumType/>
          <w:docGrid w:linePitch="360"/>
        </w:sectPr>
      </w:pPr>
    </w:p>
    <w:p>
      <w:pPr>
        <w:spacing w:after="0" w:line="480" w:lineRule="auto"/>
        <w:jc w:val="center"/>
      </w:pPr>
      <w:r>
        <w:rPr>
          <w:rFonts w:ascii="Times New Roman" w:cs="Times New Roman" w:eastAsia="Times New Roman" w:hAnsi="Times New Roman"/>
          <w:b/>
          <w:bCs/>
          <w:sz w:val="24"/>
          <w:szCs w:val="24"/>
        </w:rPr>
        <w:t xml:space="preserve">Instruction-Level Parallelism in Modern Processors: A Review of Contemporary Research and Future Directions</w:t>
      </w:r>
    </w:p>
    <w:p>
      <w:pPr>
        <w:spacing w:after="0" w:line="480" w:lineRule="auto"/>
        <w:ind w:firstLine="720"/>
      </w:pPr>
      <w:r>
        <w:rPr>
          <w:rFonts w:ascii="Times New Roman" w:cs="Times New Roman" w:eastAsia="Times New Roman" w:hAnsi="Times New Roman"/>
          <w:sz w:val="24"/>
          <w:szCs w:val="24"/>
        </w:rPr>
        <w:t xml:space="preserve">Instruction-level parallelism (ILP) is the degree to which a program's instructions can execute concurrently rather than strictly in written order. For four decades it has been the primary lever architects used to convert transistor budget into single-thread performance, from pipelining through superscalar and out-of-order execution. This review traces that evolution, analyzes the concepts and limits governing how much parallelism a processor can extract, and integrates four recent peer-reviewed studies to critique ILP's current challenges and synthesize where the field is headed next.</w:t>
      </w:r>
    </w:p>
    <w:p>
      <w:pPr>
        <w:spacing w:after="0" w:before="0" w:line="480" w:lineRule="auto"/>
        <w:jc w:val="center"/>
      </w:pPr>
      <w:r>
        <w:rPr>
          <w:rFonts w:ascii="Times New Roman" w:cs="Times New Roman" w:eastAsia="Times New Roman" w:hAnsi="Times New Roman"/>
          <w:b/>
          <w:bCs/>
          <w:sz w:val="24"/>
          <w:szCs w:val="24"/>
        </w:rPr>
        <w:t xml:space="preserve">Evolution of Instruction-Level Parallelism</w:t>
      </w:r>
    </w:p>
    <w:p>
      <w:pPr>
        <w:spacing w:after="0" w:line="480" w:lineRule="auto"/>
        <w:ind w:firstLine="720"/>
      </w:pPr>
      <w:r>
        <w:rPr>
          <w:rFonts w:ascii="Times New Roman" w:cs="Times New Roman" w:eastAsia="Times New Roman" w:hAnsi="Times New Roman"/>
          <w:sz w:val="24"/>
          <w:szCs w:val="24"/>
        </w:rPr>
        <w:t xml:space="preserve">Early processors executed one instruction to completion before beginning the next. The first paradigm shift was pipelining, which overlaps the fetch, decode, execute, memory, and writeback stages of successive instructions so that, in steady state, one instruction completes every cycle even though each instruction still takes several cycles start to finish. The second shift was superscalar issue: rather than deepen the pipeline further, early-1990s RISC and x86 designs replicated fetch, decode, and execute hardware so multiple independent instructions could issue in the same cycle, quickly paired with dynamic, out-of-order scheduling so hardware, not just the compiler, could find parallelism static order obscured. Branch prediction matured alongside these changes, moving from static rules to dynamic, history-based predictors (Hennessy &amp; Patterson, 2017). By the early 2000s, single-thread ILP gains flattened as power and wire-delay constraints made further widening expensive -- the shift that pushed the industry toward chip multiprocessing and SMT, and toward the heterogeneous hybrid designs discussed later (Chadwick et al., 2025).</w:t>
      </w:r>
    </w:p>
    <w:p>
      <w:pPr>
        <w:spacing w:after="0" w:before="0" w:line="480" w:lineRule="auto"/>
        <w:jc w:val="center"/>
      </w:pPr>
      <w:r>
        <w:rPr>
          <w:rFonts w:ascii="Times New Roman" w:cs="Times New Roman" w:eastAsia="Times New Roman" w:hAnsi="Times New Roman"/>
          <w:b/>
          <w:bCs/>
          <w:sz w:val="24"/>
          <w:szCs w:val="24"/>
        </w:rPr>
        <w:t xml:space="preserve">Core Concepts in ILP</w:t>
      </w:r>
    </w:p>
    <w:p>
      <w:pPr>
        <w:spacing w:after="0" w:before="0" w:line="480" w:lineRule="auto"/>
      </w:pPr>
      <w:r>
        <w:rPr>
          <w:rFonts w:ascii="Times New Roman" w:cs="Times New Roman" w:eastAsia="Times New Roman" w:hAnsi="Times New Roman"/>
          <w:b/>
          <w:bCs/>
          <w:sz w:val="24"/>
          <w:szCs w:val="24"/>
        </w:rPr>
        <w:t xml:space="preserve">Parallelism Detection and Exploitation</w:t>
      </w:r>
    </w:p>
    <w:p>
      <w:pPr>
        <w:spacing w:after="0" w:line="480" w:lineRule="auto"/>
        <w:ind w:firstLine="720"/>
      </w:pPr>
      <w:r>
        <w:rPr>
          <w:rFonts w:ascii="Times New Roman" w:cs="Times New Roman" w:eastAsia="Times New Roman" w:hAnsi="Times New Roman"/>
          <w:sz w:val="24"/>
          <w:szCs w:val="24"/>
        </w:rPr>
        <w:t xml:space="preserve">Modern processors extract ILP through a mix of static and dynamic techniques. Statically, compilers reorder instructions, unroll loops, and schedule around known latencies before the program runs. Dynamically, the hardware does the harder work: a reorder buffer and reservation stations let an out-of-order core issue instructions as soon as operands are ready rather than in program order, register renaming removes false dependencies that exist only because two instructions reuse the same architectural register, and a branch predictor lets the front end speculate past unresolved branches so the pipeline is not left idle. Superscalar issue logic and multiple execution units then let several of these independent, renamed, speculatively fetched instructions execute in the same cycle.</w:t>
      </w:r>
    </w:p>
    <w:p>
      <w:pPr>
        <w:spacing w:after="0" w:before="0" w:line="480" w:lineRule="auto"/>
      </w:pPr>
      <w:r>
        <w:rPr>
          <w:rFonts w:ascii="Times New Roman" w:cs="Times New Roman" w:eastAsia="Times New Roman" w:hAnsi="Times New Roman"/>
          <w:b/>
          <w:bCs/>
          <w:sz w:val="24"/>
          <w:szCs w:val="24"/>
        </w:rPr>
        <w:t xml:space="preserve">Fundamental Limitations</w:t>
      </w:r>
    </w:p>
    <w:p>
      <w:pPr>
        <w:spacing w:after="0" w:line="480" w:lineRule="auto"/>
        <w:ind w:firstLine="720"/>
      </w:pPr>
      <w:r>
        <w:rPr>
          <w:rFonts w:ascii="Times New Roman" w:cs="Times New Roman" w:eastAsia="Times New Roman" w:hAnsi="Times New Roman"/>
          <w:sz w:val="24"/>
          <w:szCs w:val="24"/>
        </w:rPr>
        <w:t xml:space="preserve">ILP is bounded by three kinds of constraints. Data dependencies -- true read-after-write dependencies no amount of renaming can eliminate -- create chains of instructions that must execute in order regardless of available issue width. Control-flow dependencies arise because a branch's outcome is unknown until it executes, so every instruction fetched beyond an unresolved branch is a speculative guess that must later be verified, and squashed if wrong. Resource limitations are more mundane but equally binding: a fixed number of functional units, physical registers, issue slots, and cache ports caps how many instructions can be in flight together, however much independent work is logically available. Sweety and Chaudhary (2021) show how the second constraint dominates in practice, reporting that even a well-tuned two-level adaptive predictor still leaves a measurable share of mispredicted branches, each of which flushes speculative work already performed and directly caps achievable throughput.</w:t>
      </w:r>
    </w:p>
    <w:p>
      <w:pPr>
        <w:spacing w:after="0" w:before="0" w:line="480" w:lineRule="auto"/>
      </w:pPr>
      <w:r>
        <w:rPr>
          <w:rFonts w:ascii="Times New Roman" w:cs="Times New Roman" w:eastAsia="Times New Roman" w:hAnsi="Times New Roman"/>
          <w:b/>
          <w:bCs/>
          <w:sz w:val="24"/>
          <w:szCs w:val="24"/>
        </w:rPr>
        <w:t xml:space="preserve">Memory Hierarchy and ILP</w:t>
      </w:r>
    </w:p>
    <w:p>
      <w:pPr>
        <w:spacing w:after="0" w:line="480" w:lineRule="auto"/>
        <w:ind w:firstLine="720"/>
      </w:pPr>
      <w:r>
        <w:rPr>
          <w:rFonts w:ascii="Times New Roman" w:cs="Times New Roman" w:eastAsia="Times New Roman" w:hAnsi="Times New Roman"/>
          <w:sz w:val="24"/>
          <w:szCs w:val="24"/>
        </w:rPr>
        <w:t xml:space="preserve">The memory hierarchy binds achievable ILP as tightly as data and control dependencies do: a cache miss stalling the memory stage removes exactly the ready work out-of-order and superscalar issue depend on having available every cycle (Hennessy &amp; Patterson, 2017). Memory-level parallelism (MLP) -- outstanding misses tolerated at once via non-blocking caches and miss-status-holding registers -- is a second parallelism form a wide core must exploit alongside ILP, since wide issue gains little if only one memory request can be outstanding at a time. The load/store queue compounds this: it must disambiguate addresses at runtime and, like the reorder buffer, scale with issue width or itself become the binding resource limitation.</w:t>
      </w:r>
    </w:p>
    <w:p>
      <w:pPr>
        <w:spacing w:after="0" w:before="0" w:line="480" w:lineRule="auto"/>
      </w:pPr>
      <w:r>
        <w:rPr>
          <w:rFonts w:ascii="Times New Roman" w:cs="Times New Roman" w:eastAsia="Times New Roman" w:hAnsi="Times New Roman"/>
          <w:b/>
          <w:bCs/>
          <w:sz w:val="24"/>
          <w:szCs w:val="24"/>
        </w:rPr>
        <w:t xml:space="preserve">Performance Metrics and Trade-offs</w:t>
      </w:r>
    </w:p>
    <w:p>
      <w:pPr>
        <w:spacing w:after="0" w:line="480" w:lineRule="auto"/>
        <w:ind w:firstLine="720"/>
      </w:pPr>
      <w:r>
        <w:rPr>
          <w:rFonts w:ascii="Times New Roman" w:cs="Times New Roman" w:eastAsia="Times New Roman" w:hAnsi="Times New Roman"/>
          <w:sz w:val="24"/>
          <w:szCs w:val="24"/>
        </w:rPr>
        <w:t xml:space="preserve">ILP is conventionally measured by instructions completed per cycle (throughput) and cycles a given instruction takes to retire (latency), but neither metric can be optimized in isolation: widening issue width or deepening the pipeline to raise throughput increases the misprediction penalty and the die area devoted to scheduling logic, which raises dynamic power. Chadwick et al. (2025) frame this as the central tension in contemporary ILP research: structures that extract additional parallelism -- larger reorder buffers, wider issue queues, more aggressive speculation -- scale in power and complexity far faster than the throughput they return, so a technique must now be justified in instructions-per-cycle gained per watt spent, not throughput alone.</w:t>
      </w:r>
    </w:p>
    <w:p>
      <w:pPr>
        <w:spacing w:after="0" w:before="0" w:line="480" w:lineRule="auto"/>
        <w:jc w:val="center"/>
      </w:pPr>
      <w:r>
        <w:rPr>
          <w:rFonts w:ascii="Times New Roman" w:cs="Times New Roman" w:eastAsia="Times New Roman" w:hAnsi="Times New Roman"/>
          <w:b/>
          <w:bCs/>
          <w:sz w:val="24"/>
          <w:szCs w:val="24"/>
        </w:rPr>
        <w:t xml:space="preserve">Critique of Current Challenges</w:t>
      </w:r>
    </w:p>
    <w:p>
      <w:pPr>
        <w:spacing w:after="0" w:line="480" w:lineRule="auto"/>
        <w:ind w:firstLine="720"/>
      </w:pPr>
      <w:r>
        <w:rPr>
          <w:rFonts w:ascii="Times New Roman" w:cs="Times New Roman" w:eastAsia="Times New Roman" w:hAnsi="Times New Roman"/>
          <w:sz w:val="24"/>
          <w:szCs w:val="24"/>
        </w:rPr>
        <w:t xml:space="preserve">The dominant challenge in the literature is that traditional ILP techniques face steep diminishing returns. Chadwick et al. (2025) argue that out-of-order superscalar cores are approaching a point where further widening issue logic yields shrinking throughput for disproportionate power and verification cost -- the same wall that ended aggressive frequency scaling now constrains issue width. A related challenge is that branch misprediction remains the largest obstacle to realizing the ILP a wide, speculative pipeline is theoretically capable of; Sweety and Chaudhary (2021) note that classical adaptive predictors, accurate on regular control flow, still degrade on the irregular branches common in modern workloads.</w:t>
      </w:r>
    </w:p>
    <w:p>
      <w:pPr>
        <w:spacing w:after="0" w:line="480" w:lineRule="auto"/>
        <w:ind w:firstLine="720"/>
      </w:pPr>
      <w:r>
        <w:rPr>
          <w:rFonts w:ascii="Times New Roman" w:cs="Times New Roman" w:eastAsia="Times New Roman" w:hAnsi="Times New Roman"/>
          <w:sz w:val="24"/>
          <w:szCs w:val="24"/>
        </w:rPr>
        <w:t xml:space="preserve">Researchers are addressing both problems less by scaling existing structures and more by changing what predicts and schedules them. Alajmi et al. (2025) apply TinyBERT, a compressed transformer model, to branch prediction, treating a program's branch history as a sequence a language model can learn patterns from, and report accuracy gains over classical table-based predictors on branches with long-range, context-dependent behavior that history tables cannot capture. Since every mispredicted branch squashes speculative work and wastes already-extracted ILP, a more accurate predictor delivers real throughput without widening any hardware structure. Chadwick et al. (2025) reach a parallel conclusion from the issue-logic side: the way to reclaim throughput without proportionally higher power is to specialize execution resources to the parallelism a code region actually exhibits, rather than provision uniform width for worst-case parallelism most code never uses.</w:t>
      </w:r>
    </w:p>
    <w:p>
      <w:pPr>
        <w:spacing w:after="0" w:before="0" w:line="480" w:lineRule="auto"/>
        <w:jc w:val="center"/>
      </w:pPr>
      <w:r>
        <w:rPr>
          <w:rFonts w:ascii="Times New Roman" w:cs="Times New Roman" w:eastAsia="Times New Roman" w:hAnsi="Times New Roman"/>
          <w:b/>
          <w:bCs/>
          <w:sz w:val="24"/>
          <w:szCs w:val="24"/>
        </w:rPr>
        <w:t xml:space="preserve">Synthesis of Future Directions</w:t>
      </w:r>
    </w:p>
    <w:p>
      <w:pPr>
        <w:spacing w:after="0" w:line="480" w:lineRule="auto"/>
        <w:ind w:firstLine="720"/>
      </w:pPr>
      <w:r>
        <w:rPr>
          <w:rFonts w:ascii="Times New Roman" w:cs="Times New Roman" w:eastAsia="Times New Roman" w:hAnsi="Times New Roman"/>
          <w:sz w:val="24"/>
          <w:szCs w:val="24"/>
        </w:rPr>
        <w:t xml:space="preserve">Three complementary directions emerge from this literature. The first is machine-learning-based optimization of structures historically hand-tuned: Alajmi et al. (2025) demonstrate this for branch prediction, and the same logic is already being explored for prefetching and instruction scheduling, suggesting a broader shift toward learned rather than rule-based microarchitectural control. The second is heterogeneous architectures and specialized accelerators: Silvano et al. (2025) survey deep learning accelerators paired with general-purpose cores and show that domain-specific execution units extract useful parallelism far more power-efficiently than a widened general-purpose core -- trading the search for more ILP inside one core for distributing parallel work across cores purpose-built for it. The third, which Chadwick et al. (2025) treat as the throughline connecting the other two, is that future ILP gains will come from smarter allocation of a fixed hardware budget rather than from uniformly wider pipelines.</w:t>
      </w:r>
    </w:p>
    <w:p>
      <w:pPr>
        <w:spacing w:after="0" w:line="480" w:lineRule="auto"/>
        <w:ind w:firstLine="720"/>
      </w:pPr>
      <w:r>
        <w:rPr>
          <w:rFonts w:ascii="Times New Roman" w:cs="Times New Roman" w:eastAsia="Times New Roman" w:hAnsi="Times New Roman"/>
          <w:sz w:val="24"/>
          <w:szCs w:val="24"/>
        </w:rPr>
        <w:t xml:space="preserve">These directions interact rather than compete. A learned branch predictor is most valuable inside a wide, speculative core, since it protects an existing investment in issue width from being wasted on mispredicted paths, while a heterogeneous accelerator is most valuable for code that does not benefit from that width at all. The open challenge is deciding, at compile time or runtime, which code belongs on which resource without adding so much scheduling and data-movement overhead that it erodes the efficiency specialization was meant to provide.</w:t>
      </w:r>
    </w:p>
    <w:p>
      <w:pPr>
        <w:spacing w:after="0" w:before="0" w:line="480" w:lineRule="auto"/>
        <w:jc w:val="center"/>
      </w:pPr>
      <w:r>
        <w:rPr>
          <w:rFonts w:ascii="Times New Roman" w:cs="Times New Roman" w:eastAsia="Times New Roman" w:hAnsi="Times New Roman"/>
          <w:b/>
          <w:bCs/>
          <w:sz w:val="24"/>
          <w:szCs w:val="24"/>
        </w:rPr>
        <w:t xml:space="preserve">Conclusion</w:t>
      </w:r>
    </w:p>
    <w:p>
      <w:pPr>
        <w:spacing w:after="0" w:line="480" w:lineRule="auto"/>
        <w:ind w:firstLine="720"/>
      </w:pPr>
      <w:r>
        <w:rPr>
          <w:rFonts w:ascii="Times New Roman" w:cs="Times New Roman" w:eastAsia="Times New Roman" w:hAnsi="Times New Roman"/>
          <w:sz w:val="24"/>
          <w:szCs w:val="24"/>
        </w:rPr>
        <w:t xml:space="preserve">Instruction-level parallelism moved processor design from sequential execution through pipelining, superscalar issue, and dynamic scheduling, but data, control, and resource constraints have always bounded how much of it any single core can exploit, and the power and complexity cost of pushing further against those bounds has grown faster than the throughput returned. The research reviewed here shows the field responding not by abandoning ILP but by pursuing it more selectively: learned predictors that protect existing speculative width from being wasted, and specialized accelerators that extract parallelism outside the general-purpose core altogether. Both directions point toward the same underlying strategy -- spending a fixed hardware and power budget more intelligently rather than simply spending more of it.</w:t>
      </w:r>
    </w:p>
    <w:p>
      <w:pPr>
        <w:pageBreakBefore/>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References</w:t>
      </w:r>
    </w:p>
    <w:p>
      <w:pPr>
        <w:spacing w:after="0" w:line="480" w:lineRule="auto"/>
        <w:ind w:left="720" w:hanging="720"/>
      </w:pPr>
      <w:r>
        <w:rPr>
          <w:rFonts w:ascii="Times New Roman" w:cs="Times New Roman" w:eastAsia="Times New Roman" w:hAnsi="Times New Roman"/>
          <w:sz w:val="24"/>
          <w:szCs w:val="24"/>
        </w:rPr>
        <w:t xml:space="preserve">Alajmi, A., AlSarraf, B., Abualhassan, Z., Fairouz, A. A., &amp; Ahmad, I. (2025). TinyBERT for branch prediction in modern microprocessors. Neural Computing and Applications, 37(4), 1771-1782. https://doi.org/10.1007/s00521-024-10535-1</w:t>
      </w:r>
    </w:p>
    <w:p>
      <w:pPr>
        <w:spacing w:after="0" w:line="480" w:lineRule="auto"/>
        <w:ind w:left="720" w:hanging="720"/>
      </w:pPr>
      <w:r>
        <w:rPr>
          <w:rFonts w:ascii="Times New Roman" w:cs="Times New Roman" w:eastAsia="Times New Roman" w:hAnsi="Times New Roman"/>
          <w:sz w:val="24"/>
          <w:szCs w:val="24"/>
        </w:rPr>
        <w:t xml:space="preserve">Chadwick, A. W., Erdős, M., Bora, U., Bhosale, A., &amp; Lytton, B. (2025). The future of instruction-level parallelism (ILP). 2025 IEEE International Symposium on Performance Analysis of Systems and Software (ISPASS). https://doi.org/10.17863/CAM.117448</w:t>
      </w:r>
    </w:p>
    <w:p>
      <w:pPr>
        <w:spacing w:after="0" w:line="480" w:lineRule="auto"/>
        <w:ind w:left="720" w:hanging="720"/>
      </w:pPr>
      <w:r>
        <w:rPr>
          <w:rFonts w:ascii="Times New Roman" w:cs="Times New Roman" w:eastAsia="Times New Roman" w:hAnsi="Times New Roman"/>
          <w:sz w:val="24"/>
          <w:szCs w:val="24"/>
        </w:rPr>
        <w:t xml:space="preserve">Hennessy, J. L., &amp; Patterson, D. A. (2017). Computer architecture: A quantitative approach (6th ed.). Morgan Kaufmann.</w:t>
      </w:r>
    </w:p>
    <w:p>
      <w:pPr>
        <w:spacing w:after="0" w:line="480" w:lineRule="auto"/>
        <w:ind w:left="720" w:hanging="720"/>
      </w:pPr>
      <w:r>
        <w:rPr>
          <w:rFonts w:ascii="Times New Roman" w:cs="Times New Roman" w:eastAsia="Times New Roman" w:hAnsi="Times New Roman"/>
          <w:sz w:val="24"/>
          <w:szCs w:val="24"/>
        </w:rPr>
        <w:t xml:space="preserve">Silvano, C., Ielmini, D., Ferrandi, F., Fiorin, L., Curzel, S., Benini, L., Conti, F., Garofalo, A., Zambelli, C., Calore, E., Schifano, S. F., Palesi, M., Ascia, G., Patti, D., Petra, N., De Caro, D., Lavagno, L., Urso, T., Cardellini, V., Cardarilli, G. C., Birke, R., &amp; Perri, S. (2025). A survey on deep learning hardware accelerators for heterogeneous HPC platforms. ACM Computing Surveys. https://doi.org/10.1145/3729215</w:t>
      </w:r>
    </w:p>
    <w:p>
      <w:pPr>
        <w:spacing w:after="0" w:line="480" w:lineRule="auto"/>
        <w:ind w:left="720" w:hanging="720"/>
      </w:pPr>
      <w:r>
        <w:rPr>
          <w:rFonts w:ascii="Times New Roman" w:cs="Times New Roman" w:eastAsia="Times New Roman" w:hAnsi="Times New Roman"/>
          <w:sz w:val="24"/>
          <w:szCs w:val="24"/>
        </w:rPr>
        <w:t xml:space="preserve">Sweety, &amp; Chaudhary, P. (2021). An efficient branch predictor for improved accuracy of instruction level parallelism. The Journal of Supercomputing, 77(10), 12098-12120. https://doi.org/10.1007/s11227-021-03778-5</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2026-09-21T01:26:33.839Z</dcterms:created>
  <dcterms:modified xsi:type="dcterms:W3CDTF">2026-09-21T01:26:33.840Z</dcterms:modified>
</cp:coreProperties>
</file>

<file path=docProps/custom.xml><?xml version="1.0" encoding="utf-8"?>
<Properties xmlns="http://schemas.openxmlformats.org/officeDocument/2006/custom-properties" xmlns:vt="http://schemas.openxmlformats.org/officeDocument/2006/docPropsVTypes"/>
</file>