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4F46E5"/>
          <w:sz w:val="48"/>
        </w:rPr>
        <w:t>Email Deliverability Checker</w:t>
      </w:r>
    </w:p>
    <w:p>
      <w:pPr>
        <w:spacing w:after="320"/>
      </w:pPr>
      <w:r>
        <w:rPr>
          <w:rFonts w:ascii="Arial" w:hAnsi="Arial"/>
          <w:color w:val="64748B"/>
          <w:sz w:val="26"/>
        </w:rPr>
        <w:t>Software Development Course Assignment Submission Document</w:t>
      </w:r>
    </w:p>
    <w:tbl>
      <w:tblPr>
        <w:tblW w:type="auto" w:w="0"/>
        <w:jc w:val="center"/>
        <w:tblLayout w:type="fixed"/>
        <w:tblLook w:firstColumn="1" w:firstRow="1" w:lastColumn="0" w:lastRow="0" w:noHBand="0" w:noVBand="1" w:val="04A0"/>
      </w:tblPr>
      <w:tblGrid>
        <w:gridCol w:w="4680"/>
        <w:gridCol w:w="4680"/>
      </w:tblGrid>
      <w:tr>
        <w:tc>
          <w:tcPr>
            <w:tcW w:type="dxa" w:w="3168"/>
            <w:shd w:fill="F8FAFC"/>
          </w:tcPr>
          <w:p>
            <w:pPr>
              <w:spacing w:before="80" w:after="80"/>
            </w:pPr>
            <w:r>
              <w:rPr>
                <w:b/>
                <w:color w:val="0F172A"/>
                <w:sz w:val="19"/>
              </w:rPr>
              <w:t>Project Title:</w:t>
            </w:r>
          </w:p>
        </w:tc>
        <w:tc>
          <w:tcPr>
            <w:tcW w:type="dxa" w:w="6192"/>
            <w:shd w:fill="FFFFFF"/>
          </w:tcPr>
          <w:p>
            <w:pPr>
              <w:spacing w:before="80" w:after="80"/>
            </w:pPr>
            <w:r>
              <w:rPr>
                <w:color w:val="0F172A"/>
                <w:sz w:val="19"/>
              </w:rPr>
              <w:t>Email Deliverability Checker (Safe Envelope Inspector)</w:t>
            </w:r>
          </w:p>
        </w:tc>
      </w:tr>
      <w:tr>
        <w:tc>
          <w:tcPr>
            <w:tcW w:type="dxa" w:w="3168"/>
            <w:shd w:fill="F8FAFC"/>
          </w:tcPr>
          <w:p>
            <w:pPr>
              <w:spacing w:before="80" w:after="80"/>
            </w:pPr>
            <w:r>
              <w:rPr>
                <w:b/>
                <w:color w:val="0F172A"/>
                <w:sz w:val="19"/>
              </w:rPr>
              <w:t>Author / Student:</w:t>
            </w:r>
          </w:p>
        </w:tc>
        <w:tc>
          <w:tcPr>
            <w:tcW w:type="dxa" w:w="6192"/>
            <w:shd w:fill="FFFFFF"/>
          </w:tcPr>
          <w:p>
            <w:pPr>
              <w:spacing w:before="80" w:after="80"/>
            </w:pPr>
            <w:r>
              <w:rPr>
                <w:color w:val="0F172A"/>
                <w:sz w:val="19"/>
              </w:rPr>
              <w:t>Student Submission</w:t>
            </w:r>
          </w:p>
        </w:tc>
      </w:tr>
      <w:tr>
        <w:tc>
          <w:tcPr>
            <w:tcW w:type="dxa" w:w="3168"/>
            <w:shd w:fill="F8FAFC"/>
          </w:tcPr>
          <w:p>
            <w:pPr>
              <w:spacing w:before="80" w:after="80"/>
            </w:pPr>
            <w:r>
              <w:rPr>
                <w:b/>
                <w:color w:val="0F172A"/>
                <w:sz w:val="19"/>
              </w:rPr>
              <w:t>Live Application URL:</w:t>
            </w:r>
          </w:p>
        </w:tc>
        <w:tc>
          <w:tcPr>
            <w:tcW w:type="dxa" w:w="6192"/>
            <w:shd w:fill="FFFFFF"/>
          </w:tcPr>
          <w:p>
            <w:pPr>
              <w:spacing w:before="80" w:after="80"/>
            </w:pPr>
            <w:r>
              <w:rPr>
                <w:i/>
                <w:color w:val="C2410C"/>
                <w:sz w:val="19"/>
              </w:rPr>
              <w:t>[Pending Deployment - e.g., https://email-deliverability-checker.onrender.com]</w:t>
            </w:r>
          </w:p>
        </w:tc>
      </w:tr>
      <w:tr>
        <w:tc>
          <w:tcPr>
            <w:tcW w:type="dxa" w:w="3168"/>
            <w:shd w:fill="F8FAFC"/>
          </w:tcPr>
          <w:p>
            <w:pPr>
              <w:spacing w:before="80" w:after="80"/>
            </w:pPr>
            <w:r>
              <w:rPr>
                <w:b/>
                <w:color w:val="0F172A"/>
                <w:sz w:val="19"/>
              </w:rPr>
              <w:t>GitHub Repository URL:</w:t>
            </w:r>
          </w:p>
        </w:tc>
        <w:tc>
          <w:tcPr>
            <w:tcW w:type="dxa" w:w="6192"/>
            <w:shd w:fill="FFFFFF"/>
          </w:tcPr>
          <w:p>
            <w:pPr>
              <w:spacing w:before="80" w:after="80"/>
            </w:pPr>
            <w:r>
              <w:rPr>
                <w:i/>
                <w:color w:val="C2410C"/>
                <w:sz w:val="19"/>
              </w:rPr>
              <w:t>[Pending Publication - e.g., https://github.com/&lt;username&gt;/email-deliverability-checker]</w:t>
            </w:r>
          </w:p>
        </w:tc>
      </w:tr>
      <w:tr>
        <w:tc>
          <w:tcPr>
            <w:tcW w:type="dxa" w:w="3168"/>
            <w:shd w:fill="F8FAFC"/>
          </w:tcPr>
          <w:p>
            <w:pPr>
              <w:spacing w:before="80" w:after="80"/>
            </w:pPr>
            <w:r>
              <w:rPr>
                <w:b/>
                <w:color w:val="0F172A"/>
                <w:sz w:val="19"/>
              </w:rPr>
              <w:t>Core Stack:</w:t>
            </w:r>
          </w:p>
        </w:tc>
        <w:tc>
          <w:tcPr>
            <w:tcW w:type="dxa" w:w="6192"/>
            <w:shd w:fill="FFFFFF"/>
          </w:tcPr>
          <w:p>
            <w:pPr>
              <w:spacing w:before="80" w:after="80"/>
            </w:pPr>
            <w:r>
              <w:rPr>
                <w:color w:val="0F172A"/>
                <w:sz w:val="19"/>
              </w:rPr>
              <w:t>Python 3.12, Flask, dnspython, Gunicorn, Vanilla JS, CSS3, HTML5</w:t>
            </w:r>
          </w:p>
        </w:tc>
      </w:tr>
    </w:tbl>
    <w:p>
      <w:pPr>
        <w:spacing w:after="240"/>
      </w:pPr>
    </w:p>
    <w:p>
      <w:pPr>
        <w:pStyle w:val="Heading1"/>
      </w:pPr>
      <w:r>
        <w:rPr>
          <w:b/>
          <w:color w:val="4F46E5"/>
        </w:rPr>
        <w:t>1. Project Summary</w:t>
      </w:r>
    </w:p>
    <w:p>
      <w:pPr>
        <w:spacing w:after="240"/>
      </w:pPr>
      <w:r>
        <w:t>The Email Deliverability Checker is an end-to-end web application that allows users to submit batches of up to 100 email addresses and evaluate their bounce risk. Rather than claiming 100% guaranteed mailbox verification, the system uses conservative, transparent heuristics categorized into three explainable outcomes: 'Likely deliverable', 'Likely to bounce', and 'Unknown'.</w:t>
        <w:br/>
        <w:br/>
        <w:t>Crucially, the application adheres to strict anti-spam guidelines: it never sends actual email messages, never issues the SMTP DATA command, and stores zero user emails in databases or persistent logs.</w:t>
      </w:r>
    </w:p>
    <w:p>
      <w:pPr>
        <w:pStyle w:val="Heading1"/>
      </w:pPr>
      <w:r>
        <w:rPr>
          <w:b/>
          <w:color w:val="4F46E5"/>
        </w:rPr>
        <w:t>2. Key Application Features</w:t>
      </w:r>
    </w:p>
    <w:p>
      <w:pPr>
        <w:pStyle w:val="ListBullet"/>
        <w:spacing w:after="80"/>
      </w:pPr>
      <w:r>
        <w:rPr>
          <w:b/>
        </w:rPr>
        <w:t xml:space="preserve">Multi-Stage Pipeline: </w:t>
      </w:r>
      <w:r>
        <w:t>Performs format syntax validation (RFC 5322), authoritative DNS MX record lookup (dnspython), fallback A-record resolution (RFC 5321), and optional non-intrusive SMTP handshake probes.</w:t>
      </w:r>
    </w:p>
    <w:p>
      <w:pPr>
        <w:pStyle w:val="ListBullet"/>
        <w:spacing w:after="80"/>
      </w:pPr>
      <w:r>
        <w:rPr>
          <w:b/>
        </w:rPr>
        <w:t xml:space="preserve">Modern, Accessible UI: </w:t>
      </w:r>
      <w:r>
        <w:t>Clean white/indigo design system with live address counter, responsive tables, KPI summary cards, filter pills (All, Deliverable, Bounce, Unknown), and instant text search.</w:t>
      </w:r>
    </w:p>
    <w:p>
      <w:pPr>
        <w:pStyle w:val="ListBullet"/>
        <w:spacing w:after="80"/>
      </w:pPr>
      <w:r>
        <w:rPr>
          <w:b/>
        </w:rPr>
        <w:t xml:space="preserve">CSV Export Functionality: </w:t>
      </w:r>
      <w:r>
        <w:t>Enables instant one-click export of verified results into timestamped CSV reports.</w:t>
      </w:r>
    </w:p>
    <w:p>
      <w:pPr>
        <w:pStyle w:val="ListBullet"/>
        <w:spacing w:after="80"/>
      </w:pPr>
      <w:r>
        <w:rPr>
          <w:b/>
        </w:rPr>
        <w:t xml:space="preserve">Strict Limits &amp; Concurrency: </w:t>
      </w:r>
      <w:r>
        <w:t>Enforces a strict 100 unique email batch limit, automatic deduplication, and bounded multithreaded evaluation (ThreadPoolExecutor).</w:t>
      </w:r>
    </w:p>
    <w:p>
      <w:pPr>
        <w:pStyle w:val="ListBullet"/>
        <w:spacing w:after="80"/>
      </w:pPr>
      <w:r>
        <w:rPr>
          <w:b/>
        </w:rPr>
        <w:t xml:space="preserve">Honest Uncertainty Management: </w:t>
      </w:r>
      <w:r>
        <w:t>Explicitly categorizes ambiguous responses, greylisting, and firewall-blocked environments as 'Unknown' rather than presenting false positive deliverables or bounces.</w:t>
      </w:r>
    </w:p>
    <w:p>
      <w:pPr>
        <w:spacing w:after="160"/>
      </w:pPr>
    </w:p>
    <w:p>
      <w:pPr>
        <w:pStyle w:val="Heading1"/>
      </w:pPr>
      <w:r>
        <w:rPr>
          <w:b/>
          <w:color w:val="4F46E5"/>
        </w:rPr>
        <w:t>3. Deliverability Classifications</w:t>
      </w:r>
    </w:p>
    <w:tbl>
      <w:tblPr>
        <w:tblW w:type="auto" w:w="0"/>
        <w:jc w:val="center"/>
        <w:tblLook w:firstColumn="1" w:firstRow="1" w:lastColumn="0" w:lastRow="0" w:noHBand="0" w:noVBand="1" w:val="04A0"/>
      </w:tblPr>
      <w:tblGrid>
        <w:gridCol w:w="3120"/>
        <w:gridCol w:w="3120"/>
        <w:gridCol w:w="3120"/>
      </w:tblGrid>
      <w:tr>
        <w:tc>
          <w:tcPr>
            <w:tcW w:type="dxa" w:w="2592"/>
            <w:shd w:fill="4F46E5"/>
          </w:tcPr>
          <w:p>
            <w:r>
              <w:rPr>
                <w:b/>
                <w:color w:val="FFFFFF"/>
                <w:sz w:val="19"/>
              </w:rPr>
              <w:t>Category</w:t>
            </w:r>
          </w:p>
        </w:tc>
        <w:tc>
          <w:tcPr>
            <w:tcW w:type="dxa" w:w="3168"/>
            <w:shd w:fill="4F46E5"/>
          </w:tcPr>
          <w:p>
            <w:r>
              <w:rPr>
                <w:b/>
                <w:color w:val="FFFFFF"/>
                <w:sz w:val="19"/>
              </w:rPr>
              <w:t>Technical Criteria</w:t>
            </w:r>
          </w:p>
        </w:tc>
        <w:tc>
          <w:tcPr>
            <w:tcW w:type="dxa" w:w="3600"/>
            <w:shd w:fill="4F46E5"/>
          </w:tcPr>
          <w:p>
            <w:r>
              <w:rPr>
                <w:b/>
                <w:color w:val="FFFFFF"/>
                <w:sz w:val="19"/>
              </w:rPr>
              <w:t>Practical Meaning</w:t>
            </w:r>
          </w:p>
        </w:tc>
      </w:tr>
      <w:tr>
        <w:tc>
          <w:tcPr>
            <w:tcW w:type="dxa" w:w="2592"/>
            <w:shd w:fill="F8FAFC"/>
          </w:tcPr>
          <w:p>
            <w:pPr>
              <w:spacing w:before="80" w:after="80"/>
            </w:pPr>
            <w:r>
              <w:rPr>
                <w:b/>
                <w:sz w:val="18"/>
              </w:rPr>
              <w:t>Likely deliverable</w:t>
            </w:r>
          </w:p>
        </w:tc>
        <w:tc>
          <w:tcPr>
            <w:tcW w:type="dxa" w:w="3168"/>
            <w:shd w:fill="F8FAFC"/>
          </w:tcPr>
          <w:p>
            <w:pPr>
              <w:spacing w:before="80" w:after="80"/>
            </w:pPr>
            <w:r>
              <w:rPr>
                <w:sz w:val="18"/>
              </w:rPr>
              <w:t>Valid syntax, active MX records, and mail server returned 250/251 during RCPT TO probe.</w:t>
            </w:r>
          </w:p>
        </w:tc>
        <w:tc>
          <w:tcPr>
            <w:tcW w:type="dxa" w:w="3600"/>
            <w:shd w:fill="F8FAFC"/>
          </w:tcPr>
          <w:p>
            <w:pPr>
              <w:spacing w:before="80" w:after="80"/>
            </w:pPr>
            <w:r>
              <w:rPr>
                <w:sz w:val="18"/>
              </w:rPr>
              <w:t>High probability of acceptance, though final inbox placement depends on spam filters.</w:t>
            </w:r>
          </w:p>
        </w:tc>
      </w:tr>
      <w:tr>
        <w:tc>
          <w:tcPr>
            <w:tcW w:type="dxa" w:w="2592"/>
            <w:shd w:fill="FFFFFF"/>
          </w:tcPr>
          <w:p>
            <w:pPr>
              <w:spacing w:before="80" w:after="80"/>
            </w:pPr>
            <w:r>
              <w:rPr>
                <w:b/>
                <w:sz w:val="18"/>
              </w:rPr>
              <w:t>Likely to bounce</w:t>
            </w:r>
          </w:p>
        </w:tc>
        <w:tc>
          <w:tcPr>
            <w:tcW w:type="dxa" w:w="3168"/>
            <w:shd w:fill="FFFFFF"/>
          </w:tcPr>
          <w:p>
            <w:pPr>
              <w:spacing w:before="80" w:after="80"/>
            </w:pPr>
            <w:r>
              <w:rPr>
                <w:sz w:val="18"/>
              </w:rPr>
              <w:t>Malformed syntax, NXDOMAIN (dead domain), missing MX/A records, or server 550 rejection.</w:t>
            </w:r>
          </w:p>
        </w:tc>
        <w:tc>
          <w:tcPr>
            <w:tcW w:type="dxa" w:w="3600"/>
            <w:shd w:fill="FFFFFF"/>
          </w:tcPr>
          <w:p>
            <w:pPr>
              <w:spacing w:before="80" w:after="80"/>
            </w:pPr>
            <w:r>
              <w:rPr>
                <w:sz w:val="18"/>
              </w:rPr>
              <w:t>Address is defective or mailbox does not exist. High risk of hard bounce.</w:t>
            </w:r>
          </w:p>
        </w:tc>
      </w:tr>
      <w:tr>
        <w:tc>
          <w:tcPr>
            <w:tcW w:type="dxa" w:w="2592"/>
            <w:shd w:fill="F8FAFC"/>
          </w:tcPr>
          <w:p>
            <w:pPr>
              <w:spacing w:before="80" w:after="80"/>
            </w:pPr>
            <w:r>
              <w:rPr>
                <w:b/>
                <w:sz w:val="18"/>
              </w:rPr>
              <w:t>Unknown</w:t>
            </w:r>
          </w:p>
        </w:tc>
        <w:tc>
          <w:tcPr>
            <w:tcW w:type="dxa" w:w="3168"/>
            <w:shd w:fill="F8FAFC"/>
          </w:tcPr>
          <w:p>
            <w:pPr>
              <w:spacing w:before="80" w:after="80"/>
            </w:pPr>
            <w:r>
              <w:rPr>
                <w:sz w:val="18"/>
              </w:rPr>
              <w:t>Valid MX exists, but server hides status, greylisting (4xx), port 25 blocked, or timeout.</w:t>
            </w:r>
          </w:p>
        </w:tc>
        <w:tc>
          <w:tcPr>
            <w:tcW w:type="dxa" w:w="3600"/>
            <w:shd w:fill="F8FAFC"/>
          </w:tcPr>
          <w:p>
            <w:pPr>
              <w:spacing w:before="80" w:after="80"/>
            </w:pPr>
            <w:r>
              <w:rPr>
                <w:sz w:val="18"/>
              </w:rPr>
              <w:t>Mailbox existence cannot be proven without sending. Conservative classification.</w:t>
            </w:r>
          </w:p>
        </w:tc>
      </w:tr>
    </w:tbl>
    <w:p>
      <w:pPr>
        <w:spacing w:after="240"/>
      </w:pPr>
    </w:p>
    <w:p>
      <w:pPr>
        <w:pStyle w:val="Heading1"/>
      </w:pPr>
      <w:r>
        <w:rPr>
          <w:b/>
          <w:color w:val="4F46E5"/>
        </w:rPr>
        <w:t>4. Limitations &amp; Real-World Realities</w:t>
      </w:r>
    </w:p>
    <w:p>
      <w:pPr>
        <w:spacing w:after="240"/>
      </w:pPr>
      <w:r>
        <w:t>Mailbox verification in modern Internet infrastructure is constrained by several security mechanisms:</w:t>
        <w:br/>
        <w:br/>
        <w:t>1. Catch-All Domains: Many enterprise mail systems accept all incoming addresses indiscriminately at the border and discard nonexistent mailboxes internally to prevent user enumeration attacks.</w:t>
        <w:br/>
        <w:t>2. Provider Concealment: Major providers (e.g. Yahoo, Microsoft, iCloud) deliberately obscure mailbox existence from unauthorized third-party IPs.</w:t>
        <w:br/>
        <w:t>3. Cloud Provider Port 25 Blocking: Free cloud tiers (such as Render, AWS EC2, and Heroku) strictly block outbound TCP port 25 to curb spam botnets. When deployed in these environments, the application degrades gracefully by verifying DNS MX records and marking addresses as 'Unknown' with an informative explanation.</w:t>
      </w:r>
    </w:p>
    <w:p>
      <w:pPr>
        <w:pStyle w:val="Heading1"/>
      </w:pPr>
      <w:r>
        <w:rPr>
          <w:b/>
          <w:color w:val="4F46E5"/>
        </w:rPr>
        <w:t>5. Automated Test Suite Results</w:t>
      </w:r>
    </w:p>
    <w:p>
      <w:pPr>
        <w:spacing w:after="240"/>
      </w:pPr>
      <w:r>
        <w:t>The project includes an automated test suite executed with pytest (22 passing unit and integration tests):</w:t>
        <w:br/>
        <w:t>• Valid and malformed email syntax edge cases</w:t>
        <w:br/>
        <w:t>• Input deduplication and 100-address batch size enforcement</w:t>
        <w:br/>
        <w:t>• Mocked DNS MX lookups, NXDOMAIN, NoAnswer, and timeout scenarios</w:t>
        <w:br/>
        <w:t>• Mocked SMTP handshakes (250 OK, 550 User Unknown, 451 Greylisting, connection timeouts)</w:t>
        <w:br/>
        <w:t>• Verification that the SMTP DATA command is NEVER executed under any condition</w:t>
        <w:br/>
        <w:t>• Full Flask REST API endpoints (/api/check, /api/export-csv, /health)</w:t>
        <w:br/>
        <w:t>• CSV report integrity and header schema validation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