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Machine Learning Analysis of TDP-43 RNA Binding Specificity</w:t>
      </w:r>
    </w:p>
    <w:p>
      <w:pPr>
        <w:pStyle w:val="Heading2"/>
      </w:pPr>
      <w:r>
        <w:t>1. Dataset and Preprocessing</w:t>
      </w:r>
    </w:p>
    <w:p>
      <w:r>
        <w:t>TDP-43 (TARDBP) eCLIP peak sequences were used as positive binding examples. A total of 19,478 peak regions were extracted and converted to FASTA format. Negative examples were generated by shuffling genomic regions, resulting in 22,958 sequences, which were downsampled to match the number of positives. The final dataset consisted of 19,478 positive sequences and 19,478 negative sequences (38,956 total).</w:t>
      </w:r>
    </w:p>
    <w:p>
      <w:r>
        <w:t>Sequences were cleaned to retain only A, C, G, and T characters. Classical models used engineered compositional and k-mer features. The CNN model used one-hot encoded sequences padded or truncated to 123 bp (95th percentile length). All models were evaluated using an 80/20 stratified split.</w:t>
      </w:r>
    </w:p>
    <w:p>
      <w:pPr>
        <w:pStyle w:val="Heading2"/>
      </w:pPr>
      <w:r>
        <w:t>2. Baseline Logistic Regression: Compositional Features</w:t>
      </w:r>
    </w:p>
    <w:p>
      <w:r>
        <w:t>Features: G fraction, T fraction, GC fraction, GT dinucleotide frequency, and sequence length.</w:t>
      </w:r>
    </w:p>
    <w:p>
      <w:r>
        <w:t>Accuracy: 0.900</w:t>
      </w:r>
    </w:p>
    <w:p>
      <w:r>
        <w:t>ROC AUC: 0.956</w:t>
      </w:r>
    </w:p>
    <w:p>
      <w:pPr>
        <w:pStyle w:val="Heading2"/>
      </w:pPr>
      <w:r>
        <w:t>3. k-mer Logistic Regression Models</w:t>
      </w:r>
    </w:p>
    <w:p>
      <w:pPr>
        <w:pStyle w:val="Heading3"/>
      </w:pPr>
      <w:r>
        <w:t>3.1 2-mer Model</w:t>
      </w:r>
    </w:p>
    <w:p>
      <w:r>
        <w:t>Accuracy: 0.935</w:t>
      </w:r>
    </w:p>
    <w:p>
      <w:r>
        <w:t>ROC AUC: 0.978</w:t>
      </w:r>
    </w:p>
    <w:p>
      <w:r>
        <w:t>The strongest enriched features were GT and TG, consistent with the known UG-rich binding preference of TDP-43.</w:t>
      </w:r>
    </w:p>
    <w:p>
      <w:pPr>
        <w:pStyle w:val="Heading3"/>
      </w:pPr>
      <w:r>
        <w:t>3.2 3-mer Model</w:t>
      </w:r>
    </w:p>
    <w:p>
      <w:r>
        <w:t>Accuracy: 0.936</w:t>
      </w:r>
    </w:p>
    <w:p>
      <w:r>
        <w:t>ROC AUC: 0.981</w:t>
      </w:r>
    </w:p>
    <w:p>
      <w:r>
        <w:t>Enriched motifs included GTG and TGT, representing repeated UG elements.</w:t>
      </w:r>
    </w:p>
    <w:p>
      <w:pPr>
        <w:pStyle w:val="Heading3"/>
      </w:pPr>
      <w:r>
        <w:t>3.3 Combined 2+3-mer Model</w:t>
      </w:r>
    </w:p>
    <w:p>
      <w:r>
        <w:t>Accuracy: 0.940</w:t>
      </w:r>
    </w:p>
    <w:p>
      <w:r>
        <w:t>ROC AUC: 0.983</w:t>
      </w:r>
    </w:p>
    <w:p>
      <w:pPr>
        <w:pStyle w:val="Heading2"/>
      </w:pPr>
      <w:r>
        <w:t>4. Combined Feature Model (Composition + k-mers)</w:t>
      </w:r>
    </w:p>
    <w:p>
      <w:r>
        <w:t>Accuracy: 0.940</w:t>
      </w:r>
    </w:p>
    <w:p>
      <w:r>
        <w:t>ROC AUC: 0.984</w:t>
      </w:r>
    </w:p>
    <w:p>
      <w:r>
        <w:t>The marginal improvement over the 2+3-mer model suggests motif features capture nearly all predictive signal.</w:t>
      </w:r>
    </w:p>
    <w:p>
      <w:pPr>
        <w:pStyle w:val="Heading2"/>
      </w:pPr>
      <w:r>
        <w:t>5. Convolutional Neural Network (CNN)</w:t>
      </w:r>
    </w:p>
    <w:p>
      <w:r>
        <w:t>Architecture: One-hot encoded input (4 × 123). Two Conv1D layers (4→64 and 64→128, kernel size 7) with batch normalization, ReLU activation, and max pooling. Global max pooling followed by a fully connected classifier (128→64→1) with 0.3 dropout. Trained using Adam (lr=1e-3) and BCEWithLogitsLoss for 10 epochs.</w:t>
      </w:r>
    </w:p>
    <w:p>
      <w:r>
        <w:t>Best Validation Accuracy: ~0.947</w:t>
      </w:r>
    </w:p>
    <w:p>
      <w:r>
        <w:t>Best Validation ROC AUC: 0.988</w:t>
      </w:r>
    </w:p>
    <w:p>
      <w:pPr>
        <w:pStyle w:val="Heading2"/>
      </w:pPr>
      <w:r>
        <w:t>6. Model Comparison Summary</w:t>
      </w:r>
    </w:p>
    <w:p>
      <w:r>
        <w:t>Composition features AUC: 0.956</w:t>
      </w:r>
    </w:p>
    <w:p>
      <w:r>
        <w:t>2-mer AUC: 0.978</w:t>
      </w:r>
    </w:p>
    <w:p>
      <w:r>
        <w:t>3-mer AUC: 0.981</w:t>
      </w:r>
    </w:p>
    <w:p>
      <w:r>
        <w:t>2+3-mer AUC: 0.983</w:t>
      </w:r>
    </w:p>
    <w:p>
      <w:r>
        <w:t>Combined features AUC: 0.984</w:t>
      </w:r>
    </w:p>
    <w:p>
      <w:r>
        <w:t>CNN AUC: 0.988</w:t>
      </w:r>
    </w:p>
    <w:p>
      <w:pPr>
        <w:pStyle w:val="Heading2"/>
      </w:pPr>
      <w:r>
        <w:t>7. Biological Interpretation and Conclusion</w:t>
      </w:r>
    </w:p>
    <w:p>
      <w:r>
        <w:t>Results demonstrate that TDP-43 binding specificity is largely driven by short UG-rich motifs. Dinucleotide frequencies alone achieve near-maximal performance, while trinucleotide context adds modest refinement. Global composition contributes minimal additional signal beyond motif frequencies. The CNN achieves the highest performance, confirming that raw sequence-based deep learning models can capture motif patterns and subtle contextual dependencies.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