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Learning–Guided Structural Prediction of ALS-Associated Changes in TDP‑43 RNA Binding</w:t>
      </w:r>
    </w:p>
    <w:p>
      <w:r>
        <w:t>This document summarizes the methodology and results obtained so far in the analysis phase of the MSc project. The work focuses on identifying RNA sequence determinants of TDP‑43 binding using machine learning applied to eCLIP data. The resulting motifs will later be used for structural modelling and protein–RNA docking to study the effects of ALS-associated mutations on RNA binding.</w:t>
      </w:r>
    </w:p>
    <w:p>
      <w:pPr>
        <w:pStyle w:val="Heading1"/>
      </w:pPr>
      <w:r>
        <w:t>1. Dataset Construction (eCLIP Processing)</w:t>
      </w:r>
    </w:p>
    <w:p>
      <w:r>
        <w:t>TDP‑43 (TARDBP) eCLIP peak data were used to construct a supervised machine learning dataset. Positive examples correspond to experimentally identified RNA binding peaks, while negative examples were generated from non‑binding genomic regions matched in length distribution.</w:t>
      </w:r>
    </w:p>
    <w:p>
      <w:r>
        <w:t>Dataset summary:</w:t>
      </w:r>
    </w:p>
    <w:p>
      <w:pPr>
        <w:pStyle w:val="ListBullet"/>
      </w:pPr>
      <w:r>
        <w:t>Positive sequences (eCLIP peaks): 19,478</w:t>
      </w:r>
    </w:p>
    <w:p>
      <w:pPr>
        <w:pStyle w:val="ListBullet"/>
      </w:pPr>
      <w:r>
        <w:t>Negative sequences (matched controls): 19,478</w:t>
      </w:r>
    </w:p>
    <w:p>
      <w:pPr>
        <w:pStyle w:val="ListBullet"/>
      </w:pPr>
      <w:r>
        <w:t>Total sequences: 38,956</w:t>
      </w:r>
    </w:p>
    <w:p>
      <w:pPr>
        <w:pStyle w:val="ListBullet"/>
      </w:pPr>
      <w:r>
        <w:t>Sequences stored in a labeled dataset: tdp43_sequences_labeled.csv</w:t>
      </w:r>
    </w:p>
    <w:p>
      <w:pPr>
        <w:pStyle w:val="Heading1"/>
      </w:pPr>
      <w:r>
        <w:t>2. Feature Engineering and Classical Machine Learning</w:t>
      </w:r>
    </w:p>
    <w:p>
      <w:r>
        <w:t>To establish an interpretable baseline, classical machine learning models were trained using sequence‑based features derived from the RNA sequences.</w:t>
      </w:r>
    </w:p>
    <w:p>
      <w:pPr>
        <w:pStyle w:val="ListBullet"/>
      </w:pPr>
      <w:r>
        <w:t>Nucleotide composition features</w:t>
      </w:r>
    </w:p>
    <w:p>
      <w:pPr>
        <w:pStyle w:val="ListBullet"/>
      </w:pPr>
      <w:r>
        <w:t>k‑mer frequencies (2‑mers and 3‑mers)</w:t>
      </w:r>
    </w:p>
    <w:p>
      <w:pPr>
        <w:pStyle w:val="ListBullet"/>
      </w:pPr>
      <w:r>
        <w:t>Combined feature representation (composition + k‑mers)</w:t>
      </w:r>
    </w:p>
    <w:p>
      <w:r>
        <w:t>Logistic regression models were trained and evaluated using AUC as the primary performance metric. The best model used combined 2‑mer and 3‑mer features together with nucleotide composition.</w:t>
      </w:r>
    </w:p>
    <w:p>
      <w:r>
        <w:t>Best baseline model performance:</w:t>
      </w:r>
    </w:p>
    <w:p>
      <w:pPr>
        <w:pStyle w:val="ListBullet"/>
      </w:pPr>
      <w:r>
        <w:t>AUC ≈ 0.984</w:t>
      </w:r>
    </w:p>
    <w:p>
      <w:r>
        <w:t>Feature importance analysis identified enriched sequence patterns associated with TDP‑43 binding. The most informative k‑mers were exported to top_kmers.csv for further analysis.</w:t>
      </w:r>
    </w:p>
    <w:p>
      <w:pPr>
        <w:pStyle w:val="Heading1"/>
      </w:pPr>
      <w:r>
        <w:t>3. Convolutional Neural Network Model</w:t>
      </w:r>
    </w:p>
    <w:p>
      <w:r>
        <w:t>A convolutional neural network (CNN) was trained to learn sequence patterns directly from raw nucleotide input. The model architecture was designed to capture short sequence motifs characteristic of RNA‑binding protein recognition.</w:t>
      </w:r>
    </w:p>
    <w:p>
      <w:r>
        <w:t>CNN architecture:</w:t>
      </w:r>
    </w:p>
    <w:p>
      <w:pPr>
        <w:pStyle w:val="ListBullet"/>
      </w:pPr>
      <w:r>
        <w:t>Input: one‑hot encoded RNA sequences</w:t>
      </w:r>
    </w:p>
    <w:p>
      <w:pPr>
        <w:pStyle w:val="ListBullet"/>
      </w:pPr>
      <w:r>
        <w:t>Conv1D layer: 4 → 64 filters (kernel size = 7)</w:t>
      </w:r>
    </w:p>
    <w:p>
      <w:pPr>
        <w:pStyle w:val="ListBullet"/>
      </w:pPr>
      <w:r>
        <w:t>Batch normalization and ReLU activation</w:t>
      </w:r>
    </w:p>
    <w:p>
      <w:pPr>
        <w:pStyle w:val="ListBullet"/>
      </w:pPr>
      <w:r>
        <w:t>Conv1D layer: 64 → 128 filters</w:t>
      </w:r>
    </w:p>
    <w:p>
      <w:pPr>
        <w:pStyle w:val="ListBullet"/>
      </w:pPr>
      <w:r>
        <w:t>Global max pooling</w:t>
      </w:r>
    </w:p>
    <w:p>
      <w:pPr>
        <w:pStyle w:val="ListBullet"/>
      </w:pPr>
      <w:r>
        <w:t>Fully connected classifier</w:t>
      </w:r>
    </w:p>
    <w:p>
      <w:r>
        <w:t>Model performance:</w:t>
      </w:r>
    </w:p>
    <w:p>
      <w:pPr>
        <w:pStyle w:val="ListBullet"/>
      </w:pPr>
      <w:r>
        <w:t>CNN validation AUC ≈ 0.988</w:t>
      </w:r>
    </w:p>
    <w:p>
      <w:r>
        <w:t>The trained model was saved as cnn_best.pt and predictions were stored in cnn_predictions.csv.</w:t>
      </w:r>
    </w:p>
    <w:p>
      <w:pPr>
        <w:pStyle w:val="Heading1"/>
      </w:pPr>
      <w:r>
        <w:t>4. CNN Motif Discovery</w:t>
      </w:r>
    </w:p>
    <w:p>
      <w:r>
        <w:t>To interpret the learned CNN features, activation‑based filter interpretation was performed on the first convolutional layer. For each filter, the top‑activating sequence windows were extracted from the dataset.</w:t>
      </w:r>
    </w:p>
    <w:p>
      <w:r>
        <w:t>Procedure:</w:t>
      </w:r>
    </w:p>
    <w:p>
      <w:pPr>
        <w:pStyle w:val="ListBullet"/>
      </w:pPr>
      <w:r>
        <w:t>Extract activations from conv1 layer</w:t>
      </w:r>
    </w:p>
    <w:p>
      <w:pPr>
        <w:pStyle w:val="ListBullet"/>
      </w:pPr>
      <w:r>
        <w:t>Identify top 2000 activating windows per filter</w:t>
      </w:r>
    </w:p>
    <w:p>
      <w:pPr>
        <w:pStyle w:val="ListBullet"/>
      </w:pPr>
      <w:r>
        <w:t>Compute position weight matrices (PWMs)</w:t>
      </w:r>
    </w:p>
    <w:p>
      <w:pPr>
        <w:pStyle w:val="ListBullet"/>
      </w:pPr>
      <w:r>
        <w:t>Generate consensus motifs</w:t>
      </w:r>
    </w:p>
    <w:p>
      <w:r>
        <w:t>Analysis revealed multiple enriched sequence motifs. Several motifs contained TG/GT patterns consistent with UG‑rich RNA sequences known to bind TDP‑43.</w:t>
      </w:r>
    </w:p>
    <w:p>
      <w:pPr>
        <w:pStyle w:val="Heading1"/>
      </w:pPr>
      <w:r>
        <w:t>5. CNN Filter Importance Analysis</w:t>
      </w:r>
    </w:p>
    <w:p>
      <w:r>
        <w:t>Filter importance was quantified using a filter‑ablation approach. Each convolutional filter was removed individually and the drop in model performance was measured.</w:t>
      </w:r>
    </w:p>
    <w:p>
      <w:r>
        <w:t>Baseline performance:</w:t>
      </w:r>
    </w:p>
    <w:p>
      <w:pPr>
        <w:pStyle w:val="ListBullet"/>
      </w:pPr>
      <w:r>
        <w:t>AUC ≈ 0.933</w:t>
      </w:r>
    </w:p>
    <w:p>
      <w:r>
        <w:t>Most important filters (highest AUC drop):</w:t>
      </w:r>
    </w:p>
    <w:p>
      <w:pPr>
        <w:pStyle w:val="ListBullet"/>
      </w:pPr>
      <w:r>
        <w:t>Filter 2 (AUC drop ≈ 0.0277)</w:t>
      </w:r>
    </w:p>
    <w:p>
      <w:pPr>
        <w:pStyle w:val="ListBullet"/>
      </w:pPr>
      <w:r>
        <w:t>Filter 22 (AUC drop ≈ 0.0109)</w:t>
      </w:r>
    </w:p>
    <w:p>
      <w:pPr>
        <w:pStyle w:val="ListBullet"/>
      </w:pPr>
      <w:r>
        <w:t>Filter 51 (AUC drop ≈ 0.0098)</w:t>
      </w:r>
    </w:p>
    <w:p>
      <w:pPr>
        <w:pStyle w:val="ListBullet"/>
      </w:pPr>
      <w:r>
        <w:t>Filter 59 (AUC drop ≈ 0.0098)</w:t>
      </w:r>
    </w:p>
    <w:p>
      <w:pPr>
        <w:pStyle w:val="ListBullet"/>
      </w:pPr>
      <w:r>
        <w:t>Filter 14 (AUC drop ≈ 0.0091)</w:t>
      </w:r>
    </w:p>
    <w:p>
      <w:r>
        <w:t>These filters correspond to sequence motifs that strongly influence model predictions.</w:t>
      </w:r>
    </w:p>
    <w:p>
      <w:pPr>
        <w:pStyle w:val="Heading1"/>
      </w:pPr>
      <w:r>
        <w:t>6. Selection of RNA Motifs for Structural Analysis</w:t>
      </w:r>
    </w:p>
    <w:p>
      <w:r>
        <w:t>To prepare for structural modelling and docking, RNA motifs were selected using a combined strategy that integrates CNN motif discovery and logistic regression k‑mer analysis.</w:t>
      </w:r>
    </w:p>
    <w:p>
      <w:r>
        <w:t>Selected motifs (RNA form):</w:t>
      </w:r>
    </w:p>
    <w:p>
      <w:pPr>
        <w:pStyle w:val="ListBullet"/>
      </w:pPr>
      <w:r>
        <w:t>GAGUAUG</w:t>
      </w:r>
    </w:p>
    <w:p>
      <w:pPr>
        <w:pStyle w:val="ListBullet"/>
      </w:pPr>
      <w:r>
        <w:t>GUGCACG</w:t>
      </w:r>
    </w:p>
    <w:p>
      <w:pPr>
        <w:pStyle w:val="ListBullet"/>
      </w:pPr>
      <w:r>
        <w:t>UCUGUAC</w:t>
      </w:r>
    </w:p>
    <w:p>
      <w:pPr>
        <w:pStyle w:val="ListBullet"/>
      </w:pPr>
      <w:r>
        <w:t>UUUGCAU</w:t>
      </w:r>
    </w:p>
    <w:p>
      <w:pPr>
        <w:pStyle w:val="ListBullet"/>
      </w:pPr>
      <w:r>
        <w:t>GCAUAUC</w:t>
      </w:r>
    </w:p>
    <w:p>
      <w:r>
        <w:t>These motifs are enriched in TDP‑43 binding peaks and contain UG‑rich elements consistent with known RNA‑binding preferences of the protein.</w:t>
      </w:r>
    </w:p>
    <w:p>
      <w:pPr>
        <w:pStyle w:val="Heading1"/>
      </w:pPr>
      <w:r>
        <w:t>7. RNA Secondary Structure Prediction</w:t>
      </w:r>
    </w:p>
    <w:p>
      <w:r>
        <w:t>Secondary structure predictions were performed using ViennaRNA (RNAfold 2.5.1). Motifs were extended to 21 nucleotides by adding neutral flanking bases to facilitate structural modelling.</w:t>
      </w:r>
    </w:p>
    <w:p>
      <w:r>
        <w:t>RNAfold predicted largely unstructured conformations for the sequences, which is consistent with the single‑stranded RNA recognition mechanism of TDP‑43 RNA recognition motifs.</w:t>
      </w:r>
    </w:p>
    <w:p>
      <w:pPr>
        <w:pStyle w:val="Heading1"/>
      </w:pPr>
      <w:r>
        <w:t>Current Project Status</w:t>
      </w:r>
    </w:p>
    <w:p>
      <w:pPr>
        <w:pStyle w:val="ListBullet"/>
      </w:pPr>
      <w:r>
        <w:t>Dataset generation from eCLIP data – completed</w:t>
      </w:r>
    </w:p>
    <w:p>
      <w:pPr>
        <w:pStyle w:val="ListBullet"/>
      </w:pPr>
      <w:r>
        <w:t>Machine learning modelling (LR + CNN) – completed</w:t>
      </w:r>
    </w:p>
    <w:p>
      <w:pPr>
        <w:pStyle w:val="ListBullet"/>
      </w:pPr>
      <w:r>
        <w:t>CNN motif discovery – completed</w:t>
      </w:r>
    </w:p>
    <w:p>
      <w:pPr>
        <w:pStyle w:val="ListBullet"/>
      </w:pPr>
      <w:r>
        <w:t>Filter importance analysis – completed</w:t>
      </w:r>
    </w:p>
    <w:p>
      <w:pPr>
        <w:pStyle w:val="ListBullet"/>
      </w:pPr>
      <w:r>
        <w:t>Motif selection for structural docking – completed</w:t>
      </w:r>
    </w:p>
    <w:p>
      <w:pPr>
        <w:pStyle w:val="ListBullet"/>
      </w:pPr>
      <w:r>
        <w:t>RNA secondary structure prediction – completed</w:t>
      </w:r>
    </w:p>
    <w:p>
      <w:pPr>
        <w:pStyle w:val="ListBullet"/>
      </w:pPr>
      <w:r>
        <w:t>Next phase: structural modelling and protein–RNA docking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