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Learning–Guided Structural Prediction of ALS-Associated Changes in TDP-43 RNA Binding</w:t>
        <w:br/>
        <w:br/>
        <w:t>Methodology and Results (Up to Motif 1 Docking Analysis)</w:t>
      </w:r>
    </w:p>
    <w:p>
      <w:pPr>
        <w:pStyle w:val="Heading1"/>
      </w:pPr>
      <w:r>
        <w:t>1. Project Objective</w:t>
      </w:r>
    </w:p>
    <w:p>
      <w:r>
        <w:t>The objective of this MSc project is to investigate how sequence motifs associated with TDP‑43 RNA binding translate into structurally plausible interactions with the RNA Recognition Motif (RRM) domains of the protein. TDP‑43 is a key RNA-binding protein implicated in amyotrophic lateral sclerosis (ALS) and other neurodegenerative diseases. Understanding how RNA sequence features contribute to binding may help explain how RNA recognition is altered in disease contexts.</w:t>
      </w:r>
    </w:p>
    <w:p>
      <w:r>
        <w:t>This project integrates machine learning with structural bioinformatics. Machine learning models trained on eCLIP binding data were used to identify sequence motifs predictive of TDP‑43 binding. These motifs were then structurally evaluated using RNA secondary structure prediction and protein–RNA docking to determine whether the identified sequence patterns correspond to plausible binding interactions with the TDP‑43 RRM domains.</w:t>
      </w:r>
    </w:p>
    <w:p>
      <w:pPr>
        <w:pStyle w:val="Heading1"/>
      </w:pPr>
      <w:r>
        <w:t>2. Dataset Preparation</w:t>
      </w:r>
    </w:p>
    <w:p>
      <w:r>
        <w:t>TDP‑43 eCLIP data were used to generate a balanced dataset for training machine learning models. Positive binding sites were obtained from experimentally identified peaks, while negative examples were generated through matched genomic background sampling.</w:t>
      </w:r>
    </w:p>
    <w:p>
      <w:r>
        <w:t>Dataset composition:</w:t>
        <w:br/>
        <w:t>• Positive peaks: 19,478</w:t>
        <w:br/>
        <w:t>• Matched negative regions: 19,478</w:t>
        <w:br/>
        <w:t>• Total sequences: 38,956</w:t>
      </w:r>
    </w:p>
    <w:p>
      <w:r>
        <w:t>Each sequence represents a genomic region potentially interacting with TDP‑43. Positive sequences correspond to experimentally supported binding events, whereas negative sequences represent non-binding regions used for model training and evaluation.</w:t>
      </w:r>
    </w:p>
    <w:p>
      <w:pPr>
        <w:pStyle w:val="Heading1"/>
      </w:pPr>
      <w:r>
        <w:t>3. Machine Learning Models</w:t>
      </w:r>
    </w:p>
    <w:p>
      <w:r>
        <w:t>Two complementary machine learning models were trained to learn sequence determinants of TDP‑43 RNA binding.</w:t>
      </w:r>
    </w:p>
    <w:p>
      <w:r>
        <w:t>Logistic Regression Model:</w:t>
        <w:br/>
        <w:t>Features:</w:t>
        <w:br/>
        <w:t>• Nucleotide composition</w:t>
        <w:br/>
        <w:t>• 2‑mer frequencies</w:t>
        <w:br/>
        <w:t>• 3‑mer frequencies</w:t>
      </w:r>
    </w:p>
    <w:p>
      <w:r>
        <w:t>This model captures statistical enrichment of short sequence patterns associated with binding.</w:t>
      </w:r>
    </w:p>
    <w:p>
      <w:r>
        <w:t>Performance:</w:t>
        <w:br/>
        <w:t>Validation AUC ≈ 0.984</w:t>
      </w:r>
    </w:p>
    <w:p>
      <w:r>
        <w:t>Convolutional Neural Network (CNN):</w:t>
        <w:br/>
        <w:t>Architecture:</w:t>
        <w:br/>
        <w:t>• Input: one‑hot encoded RNA sequences</w:t>
        <w:br/>
        <w:t>• Conv1D layer: 4 → 64 filters (kernel size = 7)</w:t>
        <w:br/>
        <w:t>• Batch normalization and ReLU activation</w:t>
        <w:br/>
        <w:t>• Conv1D layer: 64 → 128 filters</w:t>
        <w:br/>
        <w:t>• Global max pooling</w:t>
        <w:br/>
        <w:t>• Dense classifier</w:t>
      </w:r>
    </w:p>
    <w:p>
      <w:r>
        <w:t>Performance:</w:t>
        <w:br/>
        <w:t>Validation AUC ≈ 0.988</w:t>
      </w:r>
    </w:p>
    <w:p>
      <w:r>
        <w:t>The CNN model learns sequence motifs directly from raw nucleotide input without requiring manually defined features.</w:t>
      </w:r>
    </w:p>
    <w:p>
      <w:pPr>
        <w:pStyle w:val="Heading1"/>
      </w:pPr>
      <w:r>
        <w:t>4. CNN Motif Interpretation</w:t>
      </w:r>
    </w:p>
    <w:p>
      <w:r>
        <w:t>To interpret the CNN model and identify sequence motifs responsible for predictive performance, convolutional filter activations were analysed.</w:t>
      </w:r>
    </w:p>
    <w:p>
      <w:r>
        <w:t>Interpretation steps:</w:t>
        <w:br/>
        <w:t>• Activation-based motif extraction</w:t>
        <w:br/>
        <w:t>• Identification of highest-activating sequence windows</w:t>
        <w:br/>
        <w:t>• Position weight matrix (PWM) construction</w:t>
        <w:br/>
        <w:t>• Filter importance estimation via ablation</w:t>
      </w:r>
    </w:p>
    <w:p>
      <w:r>
        <w:t>This process allowed the extraction of candidate RNA-binding motifs learned by the CNN model.</w:t>
      </w:r>
    </w:p>
    <w:p>
      <w:pPr>
        <w:pStyle w:val="Heading1"/>
      </w:pPr>
      <w:r>
        <w:t>5. Final Motif Selection</w:t>
      </w:r>
    </w:p>
    <w:p>
      <w:r>
        <w:t>Motifs were selected based on:</w:t>
        <w:br/>
        <w:t>• High CNN activation strength</w:t>
        <w:br/>
        <w:t>• Consistency with logistic regression feature importance</w:t>
        <w:br/>
        <w:t>• Presence in multiple positive binding regions</w:t>
      </w:r>
    </w:p>
    <w:p>
      <w:r>
        <w:t>Final selected motifs:</w:t>
      </w:r>
    </w:p>
    <w:p>
      <w:r>
        <w:t>1. GAGUAUG</w:t>
        <w:br/>
        <w:t>2. GUGCACG</w:t>
        <w:br/>
        <w:t>3. UCUGUAC</w:t>
        <w:br/>
        <w:t>4. UUUGCAU</w:t>
        <w:br/>
        <w:t>5. GCAUAUC</w:t>
      </w:r>
    </w:p>
    <w:p>
      <w:r>
        <w:t>These motifs represent sequence patterns predicted by machine learning models to be associated with TDP‑43 RNA binding.</w:t>
      </w:r>
    </w:p>
    <w:p>
      <w:pPr>
        <w:pStyle w:val="Heading1"/>
      </w:pPr>
      <w:r>
        <w:t>6. RNA Structural Preparation</w:t>
      </w:r>
    </w:p>
    <w:p>
      <w:r>
        <w:t>To enable structural docking, motifs were embedded into longer RNA sequences. Each motif was extended to a 21‑nt construct by adding flanking nucleotides.</w:t>
      </w:r>
    </w:p>
    <w:p>
      <w:r>
        <w:t>Example:</w:t>
      </w:r>
    </w:p>
    <w:p>
      <w:r>
        <w:t>Motif:</w:t>
        <w:br/>
        <w:t>GAGUAUG</w:t>
      </w:r>
    </w:p>
    <w:p>
      <w:r>
        <w:t>Extended docking sequence:</w:t>
        <w:br/>
        <w:t>UUUUUUUGAGUAUGUUUUUUU</w:t>
      </w:r>
    </w:p>
    <w:p>
      <w:r>
        <w:t>Secondary structure prediction was performed using ViennaRNA (RNAfold).</w:t>
      </w:r>
    </w:p>
    <w:p>
      <w:r>
        <w:t>RNAfold results indicated that all motif constructs are predicted to be largely single‑stranded, meaning the motif bases remain accessible for protein interaction. This property is important because RNA‑binding proteins typically recognise accessible single‑stranded regions.</w:t>
      </w:r>
    </w:p>
    <w:p>
      <w:pPr>
        <w:pStyle w:val="Heading1"/>
      </w:pPr>
      <w:r>
        <w:t>7. Protein Structure Preparation</w:t>
      </w:r>
    </w:p>
    <w:p>
      <w:r>
        <w:t>The receptor structure used for docking was derived from the experimentally solved crystal structure of the TDP‑43 tandem RNA Recognition Motifs (RRM1 and RRM2).</w:t>
      </w:r>
    </w:p>
    <w:p>
      <w:r>
        <w:t>Source structure:</w:t>
        <w:br/>
        <w:t>PDB ID: 4BS2</w:t>
      </w:r>
    </w:p>
    <w:p>
      <w:r>
        <w:t>Preparation steps:</w:t>
        <w:br/>
        <w:t>• Model 1 extracted from the structure file</w:t>
        <w:br/>
        <w:t>• RNA molecules removed</w:t>
        <w:br/>
        <w:t>• Protein structure cleaned</w:t>
        <w:br/>
        <w:t>• Receptor saved as: tdp43_rrm_receptor.pdb</w:t>
      </w:r>
    </w:p>
    <w:p>
      <w:r>
        <w:t>Using a single receptor structure ensures that docking comparisons across motifs remain consistent.</w:t>
      </w:r>
    </w:p>
    <w:p>
      <w:pPr>
        <w:pStyle w:val="Heading1"/>
      </w:pPr>
      <w:r>
        <w:t>8. RNA 3D Structure Generation</w:t>
      </w:r>
    </w:p>
    <w:p>
      <w:r>
        <w:t>Three‑dimensional RNA structures were generated using RNAComposer.</w:t>
      </w:r>
    </w:p>
    <w:p>
      <w:r>
        <w:t>For example:</w:t>
        <w:br/>
        <w:t>motif1_GAGUAUG_21nt_clean.pdb</w:t>
      </w:r>
    </w:p>
    <w:p>
      <w:r>
        <w:t>RNAComposer generates plausible 3D RNA conformations compatible with the predicted secondary structure. These structures were used as ligands in the docking simulations.</w:t>
      </w:r>
    </w:p>
    <w:p>
      <w:pPr>
        <w:pStyle w:val="Heading1"/>
      </w:pPr>
      <w:r>
        <w:t>9. Protein–RNA Docking Using HDOCK</w:t>
      </w:r>
    </w:p>
    <w:p>
      <w:r>
        <w:t>Protein–RNA docking was performed using the HDOCK server.</w:t>
      </w:r>
    </w:p>
    <w:p>
      <w:r>
        <w:t>Inputs:</w:t>
        <w:br/>
        <w:t>Receptor: tdp43_rrm_receptor.pdb</w:t>
        <w:br/>
        <w:t>Ligand: motif RNA structures generated using RNAComposer</w:t>
      </w:r>
    </w:p>
    <w:p>
      <w:r>
        <w:t>Docking settings:</w:t>
        <w:br/>
        <w:t>Default HDOCK parameters were used. The server generated multiple candidate docking poses ranked by docking score.</w:t>
      </w:r>
    </w:p>
    <w:p>
      <w:r>
        <w:t>Docking scores reflect predicted interaction favourability, with more negative values indicating stronger predicted interactions.</w:t>
      </w:r>
    </w:p>
    <w:p>
      <w:pPr>
        <w:pStyle w:val="Heading1"/>
      </w:pPr>
      <w:r>
        <w:t>10. Motif 1 Docking Results (GAGUAUG)</w:t>
      </w:r>
    </w:p>
    <w:p>
      <w:r>
        <w:t>The first motif analysed was GAGUAUG.</w:t>
      </w:r>
    </w:p>
    <w:p>
      <w:r>
        <w:t>Top docking models and scores:</w:t>
      </w:r>
    </w:p>
    <w:p>
      <w:r>
        <w:t>Model 1: -304.39</w:t>
        <w:br/>
        <w:t>Model 2: -301.71</w:t>
        <w:br/>
        <w:t>Model 3: -296.78</w:t>
      </w:r>
    </w:p>
    <w:p>
      <w:r>
        <w:t>These scores indicate strong predicted interaction between the motif-containing RNA and the TDP‑43 RRM domain.</w:t>
      </w:r>
    </w:p>
    <w:p>
      <w:r>
        <w:t>Visual inspection in PyMOL showed that the RNA ligand consistently binds along a broad surface of the tandem RRM domain rather than docking randomly across the protein surface.</w:t>
      </w:r>
    </w:p>
    <w:p>
      <w:pPr>
        <w:pStyle w:val="Heading1"/>
      </w:pPr>
      <w:r>
        <w:t>11. Residue-Level Interaction Analysis</w:t>
      </w:r>
    </w:p>
    <w:p>
      <w:r>
        <w:t>Protein residues within 4 Å of the RNA ligand were identified using PyMOL.</w:t>
      </w:r>
    </w:p>
    <w:p>
      <w:r>
        <w:t>Model 1 contacting residues:</w:t>
        <w:br/>
        <w:t>SER101, LYS102, GLU117, GLN118, LYS121, LEU131, ASP138, LEU139, LYS140, ASN179, GLN182, SER183, GLN184, ASP185, PHE210, GLN213, TYR214, SER242, GLU246, ILE249, LYS251, GLY252</w:t>
      </w:r>
    </w:p>
    <w:p>
      <w:r>
        <w:t>Model 2 contacting residues:</w:t>
        <w:br/>
        <w:t>TRP113, HIS143, SER144, LYS145, ASN179, SER180, PHE194, ARG197, PRO223, LYS224, PRO225, ARG227, ALA228, PHE229, PHE231, LYS263</w:t>
      </w:r>
    </w:p>
    <w:p>
      <w:r>
        <w:t>Model 3 contacting residues:</w:t>
        <w:br/>
        <w:t>HIS98, THR116, GLN118, ASP119, GLU122, TYR123, THR126, PHE127, GLU154, GLU156, LYS160, GLN164, MET167, ILE168, ASP169, GLY170, TRP172, ASP201, THR203, GLU206, LYS251</w:t>
      </w:r>
    </w:p>
    <w:p>
      <w:r>
        <w:t>Several residues appeared in more than one docking pose, including ASN179, GLN118, and LYS251.</w:t>
      </w:r>
    </w:p>
    <w:p>
      <w:pPr>
        <w:pStyle w:val="Heading1"/>
      </w:pPr>
      <w:r>
        <w:t>12. Structural Interpretation</w:t>
      </w:r>
    </w:p>
    <w:p>
      <w:r>
        <w:t>The docking analysis indicates that the motif-containing RNA binds to a common surface region of the TDP‑43 tandem RRM domain. Although the exact atomic contacts differ slightly between models, the overall docking poses cluster around the same binding interface.</w:t>
      </w:r>
    </w:p>
    <w:p>
      <w:r>
        <w:t>This behaviour is typical for docking of flexible single‑stranded RNA molecules, which may adopt multiple conformations while interacting with a similar protein surface.</w:t>
      </w:r>
    </w:p>
    <w:p>
      <w:r>
        <w:t>The interacting residues include:</w:t>
        <w:br/>
        <w:t>• Aromatic residues (e.g., PHE, TYR, TRP) capable of base-stacking interactions with RNA nucleotides.</w:t>
        <w:br/>
        <w:t>• Positively charged residues (LYS, ARG) capable of stabilizing the negatively charged RNA phosphate backbone.</w:t>
        <w:br/>
        <w:t>• Polar residues capable of forming hydrogen bonds.</w:t>
      </w:r>
    </w:p>
    <w:p>
      <w:r>
        <w:t>These chemical features are consistent with known mechanisms of RNA recognition by RRM domains.</w:t>
      </w:r>
    </w:p>
    <w:p>
      <w:pPr>
        <w:pStyle w:val="Heading1"/>
      </w:pPr>
      <w:r>
        <w:t>13. Preliminary Conclusion</w:t>
      </w:r>
    </w:p>
    <w:p>
      <w:r>
        <w:t>The machine learning‑derived motif GAGUAUG produced strong docking scores and structurally plausible binding poses on the TDP‑43 tandem RRM domain.</w:t>
      </w:r>
    </w:p>
    <w:p>
      <w:r>
        <w:t>The clustering of top docking models at a common binding surface supports the hypothesis that motifs identified by the CNN and logistic regression models correspond to biologically relevant RNA recognition elements.</w:t>
      </w:r>
    </w:p>
    <w:p>
      <w:r>
        <w:t>However, variation in exact residue contacts across models suggests that RNA binding may occur through a flexible interaction interface rather than a single rigid binding configuration.</w:t>
      </w:r>
    </w:p>
    <w:p>
      <w:r>
        <w:t>Further docking analyses of the remaining motifs will allow comparison of binding modes and identification of motifs with the most consistent structural interactions with TDP‑43.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