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40" w:line="275" w:lineRule="auto"/>
        <w:jc w:val="both"/>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-742949</wp:posOffset>
            </wp:positionH>
            <wp:positionV relativeFrom="paragraph">
              <wp:posOffset>-1133474</wp:posOffset>
            </wp:positionV>
            <wp:extent cx="2019300" cy="2019300"/>
            <wp:effectExtent b="0" l="0" r="0" t="0"/>
            <wp:wrapNone/>
            <wp:docPr id="19494410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19300" cy="20193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5372100</wp:posOffset>
            </wp:positionH>
            <wp:positionV relativeFrom="paragraph">
              <wp:posOffset>-600074</wp:posOffset>
            </wp:positionV>
            <wp:extent cx="1138687" cy="1138687"/>
            <wp:effectExtent b="0" l="0" r="0" t="0"/>
            <wp:wrapNone/>
            <wp:docPr id="19494410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138687" cy="1138687"/>
                    </a:xfrm>
                    <a:prstGeom prst="rect"/>
                    <a:ln/>
                  </pic:spPr>
                </pic:pic>
              </a:graphicData>
            </a:graphic>
          </wp:anchor>
        </w:drawing>
      </w:r>
    </w:p>
    <w:p w:rsidR="00000000" w:rsidDel="00000000" w:rsidP="00000000" w:rsidRDefault="00000000" w:rsidRPr="00000000" w14:paraId="00000002">
      <w:pPr>
        <w:pStyle w:val="Heading1"/>
        <w:spacing w:after="120" w:before="0" w:line="275" w:lineRule="auto"/>
        <w:jc w:val="center"/>
        <w:rPr>
          <w:rFonts w:ascii="Arial" w:cs="Arial" w:eastAsia="Arial" w:hAnsi="Arial"/>
          <w:color w:val="1b1c1d"/>
        </w:rPr>
      </w:pPr>
      <w:r w:rsidDel="00000000" w:rsidR="00000000" w:rsidRPr="00000000">
        <w:rPr>
          <w:rFonts w:ascii="Arial" w:cs="Arial" w:eastAsia="Arial" w:hAnsi="Arial"/>
          <w:color w:val="1b1c1d"/>
          <w:rtl w:val="0"/>
        </w:rPr>
        <w:t xml:space="preserve">SKIDEV CASE COMBAT</w:t>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A Case Combat Report on </w:t>
      </w:r>
    </w:p>
    <w:p w:rsidR="00000000" w:rsidDel="00000000" w:rsidP="00000000" w:rsidRDefault="00000000" w:rsidRPr="00000000" w14:paraId="00000004">
      <w:pPr>
        <w:jc w:val="center"/>
        <w:rPr>
          <w:sz w:val="28"/>
          <w:szCs w:val="28"/>
        </w:rPr>
      </w:pPr>
      <w:r w:rsidDel="00000000" w:rsidR="00000000" w:rsidRPr="00000000">
        <w:rPr>
          <w:sz w:val="28"/>
          <w:szCs w:val="28"/>
          <w:rtl w:val="0"/>
        </w:rPr>
        <w:t xml:space="preserve">Hyperlocal Chaos: Can a Grocery Startup Beat Quick Commerce Giants?</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line="275" w:lineRule="auto"/>
        <w:jc w:val="center"/>
        <w:rPr>
          <w:rFonts w:ascii="Arial" w:cs="Arial" w:eastAsia="Arial" w:hAnsi="Arial"/>
          <w:color w:val="1b1c1d"/>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40" w:line="275" w:lineRule="auto"/>
        <w:jc w:val="center"/>
        <w:rPr>
          <w:rFonts w:ascii="Arial" w:cs="Arial" w:eastAsia="Arial" w:hAnsi="Arial"/>
          <w:b w:val="1"/>
          <w:color w:val="1b1c1d"/>
          <w:sz w:val="32"/>
          <w:szCs w:val="32"/>
        </w:rPr>
      </w:pPr>
      <w:r w:rsidDel="00000000" w:rsidR="00000000" w:rsidRPr="00000000">
        <w:rPr>
          <w:rFonts w:ascii="Arial" w:cs="Arial" w:eastAsia="Arial" w:hAnsi="Arial"/>
          <w:b w:val="1"/>
          <w:color w:val="1b1c1d"/>
          <w:sz w:val="32"/>
          <w:szCs w:val="32"/>
          <w:rtl w:val="0"/>
        </w:rPr>
        <w:t xml:space="preserve">GOVERNMENT ENGINEERING COLLEGE RAMANAGARA</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40" w:line="275" w:lineRule="auto"/>
        <w:jc w:val="center"/>
        <w:rPr>
          <w:rFonts w:ascii="Arial" w:cs="Arial" w:eastAsia="Arial" w:hAnsi="Arial"/>
          <w:b w:val="1"/>
          <w:color w:val="1b1c1d"/>
          <w:sz w:val="32"/>
          <w:szCs w:val="32"/>
        </w:rPr>
      </w:pPr>
      <w:r w:rsidDel="00000000" w:rsidR="00000000" w:rsidRPr="00000000">
        <w:rPr>
          <w:rFonts w:ascii="Arial" w:cs="Arial" w:eastAsia="Arial" w:hAnsi="Arial"/>
          <w:b w:val="1"/>
          <w:color w:val="1b1c1d"/>
          <w:sz w:val="32"/>
          <w:szCs w:val="32"/>
          <w:rtl w:val="0"/>
        </w:rPr>
        <w:t xml:space="preserve">COMPUTER SCIENCE AND ENGINEERING</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40" w:line="275" w:lineRule="auto"/>
        <w:jc w:val="center"/>
        <w:rPr>
          <w:rFonts w:ascii="Arial" w:cs="Arial" w:eastAsia="Arial" w:hAnsi="Arial"/>
          <w:color w:val="1b1c1d"/>
          <w:sz w:val="32"/>
          <w:szCs w:val="32"/>
        </w:rPr>
      </w:pPr>
      <w:r w:rsidDel="00000000" w:rsidR="00000000" w:rsidRPr="00000000">
        <w:rPr>
          <w:rFonts w:ascii="Arial" w:cs="Arial" w:eastAsia="Arial" w:hAnsi="Arial"/>
          <w:color w:val="1b1c1d"/>
          <w:sz w:val="32"/>
          <w:szCs w:val="32"/>
          <w:rtl w:val="0"/>
        </w:rPr>
        <w:t xml:space="preserve">TEAM NAME : </w:t>
      </w:r>
      <w:r w:rsidDel="00000000" w:rsidR="00000000" w:rsidRPr="00000000">
        <w:rPr>
          <w:rFonts w:ascii="Arial" w:cs="Arial" w:eastAsia="Arial" w:hAnsi="Arial"/>
          <w:b w:val="1"/>
          <w:color w:val="1b1c1d"/>
          <w:sz w:val="32"/>
          <w:szCs w:val="32"/>
          <w:rtl w:val="0"/>
        </w:rPr>
        <w:t xml:space="preserve">CITADEL</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240" w:line="275" w:lineRule="auto"/>
        <w:jc w:val="center"/>
        <w:rPr>
          <w:rFonts w:ascii="Arial" w:cs="Arial" w:eastAsia="Arial" w:hAnsi="Arial"/>
          <w:color w:val="1b1c1d"/>
          <w:sz w:val="32"/>
          <w:szCs w:val="32"/>
        </w:rPr>
      </w:pPr>
      <w:r w:rsidDel="00000000" w:rsidR="00000000" w:rsidRPr="00000000">
        <w:rPr>
          <w:rFonts w:ascii="Arial" w:cs="Arial" w:eastAsia="Arial" w:hAnsi="Arial"/>
          <w:color w:val="1b1c1d"/>
          <w:sz w:val="32"/>
          <w:szCs w:val="32"/>
          <w:rtl w:val="0"/>
        </w:rPr>
        <w:t xml:space="preserve">TEAM MEMBERS :</w:t>
      </w:r>
    </w:p>
    <w:tbl>
      <w:tblPr>
        <w:tblStyle w:val="Table1"/>
        <w:tblpPr w:leftFromText="180" w:rightFromText="180" w:topFromText="0" w:bottomFromText="0" w:vertAnchor="text" w:horzAnchor="text" w:tblpX="1570" w:tblpY="166"/>
        <w:tblW w:w="7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95"/>
        <w:gridCol w:w="3895"/>
        <w:tblGridChange w:id="0">
          <w:tblGrid>
            <w:gridCol w:w="3895"/>
            <w:gridCol w:w="3895"/>
          </w:tblGrid>
        </w:tblGridChange>
      </w:tblGrid>
      <w:tr>
        <w:trPr>
          <w:cantSplit w:val="0"/>
          <w:trHeight w:val="750" w:hRule="atLeast"/>
          <w:tblHeader w:val="0"/>
        </w:trPr>
        <w:tc>
          <w:tcPr/>
          <w:p w:rsidR="00000000" w:rsidDel="00000000" w:rsidP="00000000" w:rsidRDefault="00000000" w:rsidRPr="00000000" w14:paraId="0000000A">
            <w:pPr>
              <w:spacing w:after="240" w:line="275" w:lineRule="auto"/>
              <w:rPr>
                <w:rFonts w:ascii="Arial" w:cs="Arial" w:eastAsia="Arial" w:hAnsi="Arial"/>
                <w:color w:val="1b1c1d"/>
                <w:sz w:val="32"/>
                <w:szCs w:val="32"/>
              </w:rPr>
            </w:pPr>
            <w:r w:rsidDel="00000000" w:rsidR="00000000" w:rsidRPr="00000000">
              <w:rPr>
                <w:rFonts w:ascii="Arial" w:cs="Arial" w:eastAsia="Arial" w:hAnsi="Arial"/>
                <w:color w:val="1b1c1d"/>
                <w:sz w:val="32"/>
                <w:szCs w:val="32"/>
                <w:rtl w:val="0"/>
              </w:rPr>
              <w:t xml:space="preserve">AKHILESH R BENNI</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240" w:line="275" w:lineRule="auto"/>
              <w:rPr>
                <w:rFonts w:ascii="Arial" w:cs="Arial" w:eastAsia="Arial" w:hAnsi="Arial"/>
                <w:color w:val="1b1c1d"/>
                <w:sz w:val="32"/>
                <w:szCs w:val="32"/>
              </w:rPr>
            </w:pPr>
            <w:r w:rsidDel="00000000" w:rsidR="00000000" w:rsidRPr="00000000">
              <w:rPr>
                <w:rFonts w:ascii="Arial" w:cs="Arial" w:eastAsia="Arial" w:hAnsi="Arial"/>
                <w:color w:val="1b1c1d"/>
                <w:sz w:val="32"/>
                <w:szCs w:val="32"/>
                <w:rtl w:val="0"/>
              </w:rPr>
              <w:t xml:space="preserve">(1GG22CS003)</w:t>
            </w:r>
          </w:p>
        </w:tc>
      </w:tr>
      <w:tr>
        <w:trPr>
          <w:cantSplit w:val="0"/>
          <w:trHeight w:val="750" w:hRule="atLeast"/>
          <w:tblHeader w:val="0"/>
        </w:trPr>
        <w:tc>
          <w:tcPr/>
          <w:p w:rsidR="00000000" w:rsidDel="00000000" w:rsidP="00000000" w:rsidRDefault="00000000" w:rsidRPr="00000000" w14:paraId="0000000C">
            <w:pPr>
              <w:spacing w:after="240" w:line="275" w:lineRule="auto"/>
              <w:rPr>
                <w:rFonts w:ascii="Arial" w:cs="Arial" w:eastAsia="Arial" w:hAnsi="Arial"/>
                <w:color w:val="1b1c1d"/>
                <w:sz w:val="32"/>
                <w:szCs w:val="32"/>
              </w:rPr>
            </w:pPr>
            <w:r w:rsidDel="00000000" w:rsidR="00000000" w:rsidRPr="00000000">
              <w:rPr>
                <w:rFonts w:ascii="Arial" w:cs="Arial" w:eastAsia="Arial" w:hAnsi="Arial"/>
                <w:color w:val="1b1c1d"/>
                <w:sz w:val="32"/>
                <w:szCs w:val="32"/>
                <w:rtl w:val="0"/>
              </w:rPr>
              <w:t xml:space="preserve">PRIYA PRAFULLA F</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40" w:line="275" w:lineRule="auto"/>
              <w:rPr>
                <w:rFonts w:ascii="Arial" w:cs="Arial" w:eastAsia="Arial" w:hAnsi="Arial"/>
                <w:color w:val="1b1c1d"/>
                <w:sz w:val="32"/>
                <w:szCs w:val="32"/>
              </w:rPr>
            </w:pPr>
            <w:r w:rsidDel="00000000" w:rsidR="00000000" w:rsidRPr="00000000">
              <w:rPr>
                <w:rFonts w:ascii="Arial" w:cs="Arial" w:eastAsia="Arial" w:hAnsi="Arial"/>
                <w:color w:val="1b1c1d"/>
                <w:sz w:val="32"/>
                <w:szCs w:val="32"/>
                <w:rtl w:val="0"/>
              </w:rPr>
              <w:t xml:space="preserve">(1GG22CS036)</w:t>
            </w:r>
          </w:p>
        </w:tc>
      </w:tr>
      <w:tr>
        <w:trPr>
          <w:cantSplit w:val="0"/>
          <w:trHeight w:val="750" w:hRule="atLeast"/>
          <w:tblHeader w:val="0"/>
        </w:trPr>
        <w:tc>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40" w:line="275" w:lineRule="auto"/>
              <w:rPr>
                <w:rFonts w:ascii="Arial" w:cs="Arial" w:eastAsia="Arial" w:hAnsi="Arial"/>
                <w:color w:val="1b1c1d"/>
                <w:sz w:val="32"/>
                <w:szCs w:val="32"/>
              </w:rPr>
            </w:pPr>
            <w:r w:rsidDel="00000000" w:rsidR="00000000" w:rsidRPr="00000000">
              <w:rPr>
                <w:rFonts w:ascii="Arial" w:cs="Arial" w:eastAsia="Arial" w:hAnsi="Arial"/>
                <w:color w:val="1b1c1d"/>
                <w:sz w:val="32"/>
                <w:szCs w:val="32"/>
                <w:rtl w:val="0"/>
              </w:rPr>
              <w:t xml:space="preserve">CHANDU C </w:t>
            </w:r>
          </w:p>
        </w:tc>
        <w:tc>
          <w:tcPr/>
          <w:p w:rsidR="00000000" w:rsidDel="00000000" w:rsidP="00000000" w:rsidRDefault="00000000" w:rsidRPr="00000000" w14:paraId="0000000F">
            <w:pPr>
              <w:spacing w:after="240" w:line="275" w:lineRule="auto"/>
              <w:rPr>
                <w:rFonts w:ascii="Arial" w:cs="Arial" w:eastAsia="Arial" w:hAnsi="Arial"/>
                <w:color w:val="1b1c1d"/>
                <w:sz w:val="32"/>
                <w:szCs w:val="32"/>
              </w:rPr>
            </w:pPr>
            <w:r w:rsidDel="00000000" w:rsidR="00000000" w:rsidRPr="00000000">
              <w:rPr>
                <w:rFonts w:ascii="Arial" w:cs="Arial" w:eastAsia="Arial" w:hAnsi="Arial"/>
                <w:color w:val="1b1c1d"/>
                <w:sz w:val="32"/>
                <w:szCs w:val="32"/>
                <w:rtl w:val="0"/>
              </w:rPr>
              <w:t xml:space="preserve">(1GG22CS013)</w:t>
            </w:r>
          </w:p>
        </w:tc>
      </w:tr>
      <w:tr>
        <w:trPr>
          <w:cantSplit w:val="0"/>
          <w:trHeight w:val="627" w:hRule="atLeast"/>
          <w:tblHeader w:val="0"/>
        </w:trPr>
        <w:tc>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40" w:line="275" w:lineRule="auto"/>
              <w:rPr>
                <w:rFonts w:ascii="Arial" w:cs="Arial" w:eastAsia="Arial" w:hAnsi="Arial"/>
                <w:color w:val="1b1c1d"/>
                <w:sz w:val="32"/>
                <w:szCs w:val="32"/>
              </w:rPr>
            </w:pPr>
            <w:r w:rsidDel="00000000" w:rsidR="00000000" w:rsidRPr="00000000">
              <w:rPr>
                <w:rFonts w:ascii="Arial" w:cs="Arial" w:eastAsia="Arial" w:hAnsi="Arial"/>
                <w:color w:val="1b1c1d"/>
                <w:sz w:val="32"/>
                <w:szCs w:val="32"/>
                <w:rtl w:val="0"/>
              </w:rPr>
              <w:t xml:space="preserve">YUKTHA A R</w:t>
            </w:r>
          </w:p>
        </w:tc>
        <w:tc>
          <w:tcPr/>
          <w:p w:rsidR="00000000" w:rsidDel="00000000" w:rsidP="00000000" w:rsidRDefault="00000000" w:rsidRPr="00000000" w14:paraId="00000011">
            <w:pPr>
              <w:spacing w:after="240" w:line="275" w:lineRule="auto"/>
              <w:rPr>
                <w:rFonts w:ascii="Arial" w:cs="Arial" w:eastAsia="Arial" w:hAnsi="Arial"/>
                <w:color w:val="1b1c1d"/>
                <w:sz w:val="32"/>
                <w:szCs w:val="32"/>
              </w:rPr>
            </w:pPr>
            <w:r w:rsidDel="00000000" w:rsidR="00000000" w:rsidRPr="00000000">
              <w:rPr>
                <w:rFonts w:ascii="Arial" w:cs="Arial" w:eastAsia="Arial" w:hAnsi="Arial"/>
                <w:color w:val="1b1c1d"/>
                <w:sz w:val="32"/>
                <w:szCs w:val="32"/>
                <w:rtl w:val="0"/>
              </w:rPr>
              <w:t xml:space="preserve">(1GG22EC055)</w:t>
            </w:r>
          </w:p>
          <w:p w:rsidR="00000000" w:rsidDel="00000000" w:rsidP="00000000" w:rsidRDefault="00000000" w:rsidRPr="00000000" w14:paraId="00000012">
            <w:pPr>
              <w:spacing w:after="240" w:line="275" w:lineRule="auto"/>
              <w:rPr>
                <w:rFonts w:ascii="Arial" w:cs="Arial" w:eastAsia="Arial" w:hAnsi="Arial"/>
                <w:color w:val="1b1c1d"/>
                <w:sz w:val="32"/>
                <w:szCs w:val="32"/>
              </w:rPr>
            </w:pPr>
            <w:r w:rsidDel="00000000" w:rsidR="00000000" w:rsidRPr="00000000">
              <w:rPr>
                <w:rtl w:val="0"/>
              </w:rPr>
            </w:r>
          </w:p>
          <w:p w:rsidR="00000000" w:rsidDel="00000000" w:rsidP="00000000" w:rsidRDefault="00000000" w:rsidRPr="00000000" w14:paraId="00000013">
            <w:pPr>
              <w:spacing w:after="240" w:line="275" w:lineRule="auto"/>
              <w:rPr>
                <w:rFonts w:ascii="Arial" w:cs="Arial" w:eastAsia="Arial" w:hAnsi="Arial"/>
                <w:color w:val="1b1c1d"/>
                <w:sz w:val="32"/>
                <w:szCs w:val="32"/>
              </w:rPr>
            </w:pPr>
            <w:r w:rsidDel="00000000" w:rsidR="00000000" w:rsidRPr="00000000">
              <w:rPr>
                <w:rtl w:val="0"/>
              </w:rPr>
            </w:r>
          </w:p>
          <w:p w:rsidR="00000000" w:rsidDel="00000000" w:rsidP="00000000" w:rsidRDefault="00000000" w:rsidRPr="00000000" w14:paraId="00000014">
            <w:pPr>
              <w:spacing w:after="240" w:line="275" w:lineRule="auto"/>
              <w:rPr>
                <w:rFonts w:ascii="Arial" w:cs="Arial" w:eastAsia="Arial" w:hAnsi="Arial"/>
                <w:color w:val="1b1c1d"/>
                <w:sz w:val="32"/>
                <w:szCs w:val="32"/>
              </w:rPr>
            </w:pPr>
            <w:r w:rsidDel="00000000" w:rsidR="00000000" w:rsidRPr="00000000">
              <w:rPr>
                <w:rtl w:val="0"/>
              </w:rPr>
            </w:r>
          </w:p>
          <w:p w:rsidR="00000000" w:rsidDel="00000000" w:rsidP="00000000" w:rsidRDefault="00000000" w:rsidRPr="00000000" w14:paraId="00000015">
            <w:pPr>
              <w:spacing w:after="240" w:line="275" w:lineRule="auto"/>
              <w:rPr>
                <w:rFonts w:ascii="Arial" w:cs="Arial" w:eastAsia="Arial" w:hAnsi="Arial"/>
                <w:color w:val="1b1c1d"/>
                <w:sz w:val="32"/>
                <w:szCs w:val="32"/>
              </w:rPr>
            </w:pPr>
            <w:r w:rsidDel="00000000" w:rsidR="00000000" w:rsidRPr="00000000">
              <w:rPr>
                <w:rtl w:val="0"/>
              </w:rPr>
            </w:r>
          </w:p>
          <w:p w:rsidR="00000000" w:rsidDel="00000000" w:rsidP="00000000" w:rsidRDefault="00000000" w:rsidRPr="00000000" w14:paraId="00000016">
            <w:pPr>
              <w:spacing w:after="240" w:line="275" w:lineRule="auto"/>
              <w:rPr>
                <w:rFonts w:ascii="Arial" w:cs="Arial" w:eastAsia="Arial" w:hAnsi="Arial"/>
                <w:color w:val="1b1c1d"/>
                <w:sz w:val="32"/>
                <w:szCs w:val="32"/>
              </w:rPr>
            </w:pPr>
            <w:r w:rsidDel="00000000" w:rsidR="00000000" w:rsidRPr="00000000">
              <w:rPr>
                <w:rtl w:val="0"/>
              </w:rPr>
            </w:r>
          </w:p>
          <w:p w:rsidR="00000000" w:rsidDel="00000000" w:rsidP="00000000" w:rsidRDefault="00000000" w:rsidRPr="00000000" w14:paraId="00000017">
            <w:pPr>
              <w:spacing w:after="240" w:line="275" w:lineRule="auto"/>
              <w:rPr>
                <w:rFonts w:ascii="Arial" w:cs="Arial" w:eastAsia="Arial" w:hAnsi="Arial"/>
                <w:color w:val="1b1c1d"/>
                <w:sz w:val="32"/>
                <w:szCs w:val="32"/>
              </w:rPr>
            </w:pPr>
            <w:r w:rsidDel="00000000" w:rsidR="00000000" w:rsidRPr="00000000">
              <w:rPr>
                <w:rtl w:val="0"/>
              </w:rPr>
            </w:r>
          </w:p>
          <w:p w:rsidR="00000000" w:rsidDel="00000000" w:rsidP="00000000" w:rsidRDefault="00000000" w:rsidRPr="00000000" w14:paraId="00000018">
            <w:pPr>
              <w:spacing w:after="240" w:line="275" w:lineRule="auto"/>
              <w:rPr>
                <w:rFonts w:ascii="Arial" w:cs="Arial" w:eastAsia="Arial" w:hAnsi="Arial"/>
                <w:color w:val="1b1c1d"/>
                <w:sz w:val="32"/>
                <w:szCs w:val="32"/>
              </w:rPr>
            </w:pPr>
            <w:r w:rsidDel="00000000" w:rsidR="00000000" w:rsidRPr="00000000">
              <w:rPr>
                <w:rtl w:val="0"/>
              </w:rPr>
            </w:r>
          </w:p>
        </w:tc>
      </w:tr>
    </w:tbl>
    <w:p w:rsidR="00000000" w:rsidDel="00000000" w:rsidP="00000000" w:rsidRDefault="00000000" w:rsidRPr="00000000" w14:paraId="00000019">
      <w:pPr>
        <w:pStyle w:val="Heading2"/>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br w:type="textWrapping"/>
        <w:t xml:space="preserve">TABLE OF CONTENTS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CHAPTER 1: EXECUTIVE SUMMARY</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1.1. Core Business Challenge and Opportunity</w:t>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1.2. Key Analytical Findings</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20" w:line="275" w:lineRule="auto"/>
        <w:ind w:left="465" w:hanging="360"/>
        <w:jc w:val="both"/>
        <w:rPr/>
      </w:pPr>
      <w:r w:rsidDel="00000000" w:rsidR="00000000" w:rsidRPr="00000000">
        <w:rPr>
          <w:rFonts w:ascii="Arial" w:cs="Arial" w:eastAsia="Arial" w:hAnsi="Arial"/>
          <w:color w:val="1b1c1d"/>
          <w:rtl w:val="0"/>
        </w:rPr>
        <w:t xml:space="preserve">1.3. Strategic Recommendations Summary</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before="24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CHAPTER 2: INTRODUCTION TO THE QUICK COMMERCE LANDSCAPE</w:t>
      </w:r>
    </w:p>
    <w:p w:rsidR="00000000" w:rsidDel="00000000" w:rsidP="00000000" w:rsidRDefault="00000000" w:rsidRPr="00000000" w14:paraId="00000020">
      <w:pPr>
        <w:numPr>
          <w:ilvl w:val="0"/>
          <w:numId w:val="12"/>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2.1. Case Overview and Business Objectives</w:t>
      </w:r>
      <w:r w:rsidDel="00000000" w:rsidR="00000000" w:rsidRPr="00000000">
        <w:rPr>
          <w:rtl w:val="0"/>
        </w:rPr>
      </w:r>
    </w:p>
    <w:p w:rsidR="00000000" w:rsidDel="00000000" w:rsidP="00000000" w:rsidRDefault="00000000" w:rsidRPr="00000000" w14:paraId="00000021">
      <w:pPr>
        <w:numPr>
          <w:ilvl w:val="0"/>
          <w:numId w:val="12"/>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2.2. Hyperlocal Grocery Market Dynamics in Tier-2 Cities</w:t>
      </w:r>
      <w:r w:rsidDel="00000000" w:rsidR="00000000" w:rsidRPr="00000000">
        <w:rPr>
          <w:rtl w:val="0"/>
        </w:rPr>
      </w:r>
    </w:p>
    <w:p w:rsidR="00000000" w:rsidDel="00000000" w:rsidP="00000000" w:rsidRDefault="00000000" w:rsidRPr="00000000" w14:paraId="00000022">
      <w:pPr>
        <w:numPr>
          <w:ilvl w:val="0"/>
          <w:numId w:val="12"/>
        </w:numPr>
        <w:pBdr>
          <w:top w:space="0" w:sz="0" w:val="nil"/>
          <w:left w:space="0" w:sz="0" w:val="nil"/>
          <w:bottom w:space="0" w:sz="0" w:val="nil"/>
          <w:right w:space="0" w:sz="0" w:val="nil"/>
          <w:between w:space="0" w:sz="0" w:val="nil"/>
        </w:pBdr>
        <w:spacing w:after="120" w:line="275" w:lineRule="auto"/>
        <w:ind w:left="465" w:hanging="360"/>
        <w:jc w:val="both"/>
        <w:rPr/>
      </w:pPr>
      <w:r w:rsidDel="00000000" w:rsidR="00000000" w:rsidRPr="00000000">
        <w:rPr>
          <w:rFonts w:ascii="Arial" w:cs="Arial" w:eastAsia="Arial" w:hAnsi="Arial"/>
          <w:color w:val="1b1c1d"/>
          <w:rtl w:val="0"/>
        </w:rPr>
        <w:t xml:space="preserve">2.3. Report Scope and Analytical Methodology</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20" w:before="24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CHAPTER 3: DATA ARCHITECTURE AND VALIDATION</w:t>
      </w:r>
    </w:p>
    <w:p w:rsidR="00000000" w:rsidDel="00000000" w:rsidP="00000000" w:rsidRDefault="00000000" w:rsidRPr="00000000" w14:paraId="00000024">
      <w:pPr>
        <w:numPr>
          <w:ilvl w:val="0"/>
          <w:numId w:val="13"/>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3.1. Dataset Structure and Feature Engineering (Review of hyper.csv)</w:t>
      </w:r>
      <w:r w:rsidDel="00000000" w:rsidR="00000000" w:rsidRPr="00000000">
        <w:rPr>
          <w:rtl w:val="0"/>
        </w:rPr>
      </w:r>
    </w:p>
    <w:p w:rsidR="00000000" w:rsidDel="00000000" w:rsidP="00000000" w:rsidRDefault="00000000" w:rsidRPr="00000000" w14:paraId="00000025">
      <w:pPr>
        <w:numPr>
          <w:ilvl w:val="0"/>
          <w:numId w:val="13"/>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3.2. Technical Deep Dive: The Streamlit Application (app.py)</w:t>
      </w:r>
      <w:r w:rsidDel="00000000" w:rsidR="00000000" w:rsidRPr="00000000">
        <w:rPr>
          <w:rtl w:val="0"/>
        </w:rPr>
      </w:r>
    </w:p>
    <w:p w:rsidR="00000000" w:rsidDel="00000000" w:rsidP="00000000" w:rsidRDefault="00000000" w:rsidRPr="00000000" w14:paraId="00000026">
      <w:pPr>
        <w:numPr>
          <w:ilvl w:val="1"/>
          <w:numId w:val="14"/>
        </w:numPr>
        <w:pBdr>
          <w:top w:space="0" w:sz="0" w:val="nil"/>
          <w:left w:space="0" w:sz="0" w:val="nil"/>
          <w:bottom w:space="0" w:sz="0" w:val="nil"/>
          <w:right w:space="0" w:sz="0" w:val="nil"/>
          <w:between w:space="0" w:sz="0" w:val="nil"/>
        </w:pBdr>
        <w:spacing w:line="275" w:lineRule="auto"/>
        <w:ind w:left="870" w:hanging="360"/>
        <w:jc w:val="both"/>
        <w:rPr/>
      </w:pPr>
      <w:r w:rsidDel="00000000" w:rsidR="00000000" w:rsidRPr="00000000">
        <w:rPr>
          <w:rFonts w:ascii="Arial" w:cs="Arial" w:eastAsia="Arial" w:hAnsi="Arial"/>
          <w:color w:val="1b1c1d"/>
          <w:rtl w:val="0"/>
        </w:rPr>
        <w:t xml:space="preserve">3.2.1. Analysis of Computed Metrics (CLV, ROI, and CAC Proxy Critique)</w:t>
      </w:r>
      <w:r w:rsidDel="00000000" w:rsidR="00000000" w:rsidRPr="00000000">
        <w:rPr>
          <w:rtl w:val="0"/>
        </w:rPr>
      </w:r>
    </w:p>
    <w:p w:rsidR="00000000" w:rsidDel="00000000" w:rsidP="00000000" w:rsidRDefault="00000000" w:rsidRPr="00000000" w14:paraId="00000027">
      <w:pPr>
        <w:numPr>
          <w:ilvl w:val="1"/>
          <w:numId w:val="14"/>
        </w:numPr>
        <w:pBdr>
          <w:top w:space="0" w:sz="0" w:val="nil"/>
          <w:left w:space="0" w:sz="0" w:val="nil"/>
          <w:bottom w:space="0" w:sz="0" w:val="nil"/>
          <w:right w:space="0" w:sz="0" w:val="nil"/>
          <w:between w:space="0" w:sz="0" w:val="nil"/>
        </w:pBdr>
        <w:spacing w:line="275" w:lineRule="auto"/>
        <w:ind w:left="870" w:hanging="360"/>
        <w:jc w:val="both"/>
        <w:rPr/>
      </w:pPr>
      <w:r w:rsidDel="00000000" w:rsidR="00000000" w:rsidRPr="00000000">
        <w:rPr>
          <w:rFonts w:ascii="Arial" w:cs="Arial" w:eastAsia="Arial" w:hAnsi="Arial"/>
          <w:color w:val="1b1c1d"/>
          <w:rtl w:val="0"/>
        </w:rPr>
        <w:t xml:space="preserve">3.2.2. Interactive Data Visualization Capabilities</w:t>
      </w:r>
      <w:r w:rsidDel="00000000" w:rsidR="00000000" w:rsidRPr="00000000">
        <w:rPr>
          <w:rtl w:val="0"/>
        </w:rPr>
      </w:r>
    </w:p>
    <w:p w:rsidR="00000000" w:rsidDel="00000000" w:rsidP="00000000" w:rsidRDefault="00000000" w:rsidRPr="00000000" w14:paraId="00000028">
      <w:pPr>
        <w:numPr>
          <w:ilvl w:val="0"/>
          <w:numId w:val="13"/>
        </w:numPr>
        <w:pBdr>
          <w:top w:space="0" w:sz="0" w:val="nil"/>
          <w:left w:space="0" w:sz="0" w:val="nil"/>
          <w:bottom w:space="0" w:sz="0" w:val="nil"/>
          <w:right w:space="0" w:sz="0" w:val="nil"/>
          <w:between w:space="0" w:sz="0" w:val="nil"/>
        </w:pBdr>
        <w:spacing w:after="120" w:line="275" w:lineRule="auto"/>
        <w:ind w:left="465" w:hanging="360"/>
        <w:jc w:val="both"/>
        <w:rPr/>
      </w:pPr>
      <w:r w:rsidDel="00000000" w:rsidR="00000000" w:rsidRPr="00000000">
        <w:rPr>
          <w:rFonts w:ascii="Arial" w:cs="Arial" w:eastAsia="Arial" w:hAnsi="Arial"/>
          <w:color w:val="1b1c1d"/>
          <w:rtl w:val="0"/>
        </w:rPr>
        <w:t xml:space="preserve">3.3. PowerBI Dashboard Analysis and Data Confirmation</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20" w:before="24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CHAPTER 4: EXPLORATORY DATA ANALYSIS (EDA) AND FUNNEL PERFORMANCE</w:t>
      </w:r>
    </w:p>
    <w:p w:rsidR="00000000" w:rsidDel="00000000" w:rsidP="00000000" w:rsidRDefault="00000000" w:rsidRPr="00000000" w14:paraId="0000002A">
      <w:pPr>
        <w:numPr>
          <w:ilvl w:val="0"/>
          <w:numId w:val="15"/>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4.1. Core Metric Benchmarking (AOV, Frequency, Delivery Metrics)</w:t>
      </w:r>
      <w:r w:rsidDel="00000000" w:rsidR="00000000" w:rsidRPr="00000000">
        <w:rPr>
          <w:rtl w:val="0"/>
        </w:rPr>
      </w:r>
    </w:p>
    <w:p w:rsidR="00000000" w:rsidDel="00000000" w:rsidP="00000000" w:rsidRDefault="00000000" w:rsidRPr="00000000" w14:paraId="0000002B">
      <w:pPr>
        <w:numPr>
          <w:ilvl w:val="0"/>
          <w:numId w:val="15"/>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4.2. Customer Funnel Analysis and Retention Gaps</w:t>
      </w:r>
      <w:r w:rsidDel="00000000" w:rsidR="00000000" w:rsidRPr="00000000">
        <w:rPr>
          <w:rtl w:val="0"/>
        </w:rPr>
      </w:r>
    </w:p>
    <w:p w:rsidR="00000000" w:rsidDel="00000000" w:rsidP="00000000" w:rsidRDefault="00000000" w:rsidRPr="00000000" w14:paraId="0000002C">
      <w:pPr>
        <w:numPr>
          <w:ilvl w:val="1"/>
          <w:numId w:val="16"/>
        </w:numPr>
        <w:pBdr>
          <w:top w:space="0" w:sz="0" w:val="nil"/>
          <w:left w:space="0" w:sz="0" w:val="nil"/>
          <w:bottom w:space="0" w:sz="0" w:val="nil"/>
          <w:right w:space="0" w:sz="0" w:val="nil"/>
          <w:between w:space="0" w:sz="0" w:val="nil"/>
        </w:pBdr>
        <w:spacing w:line="275" w:lineRule="auto"/>
        <w:ind w:left="870" w:hanging="360"/>
        <w:jc w:val="both"/>
        <w:rPr/>
      </w:pPr>
      <w:r w:rsidDel="00000000" w:rsidR="00000000" w:rsidRPr="00000000">
        <w:rPr>
          <w:rFonts w:ascii="Arial" w:cs="Arial" w:eastAsia="Arial" w:hAnsi="Arial"/>
          <w:color w:val="1b1c1d"/>
          <w:rtl w:val="0"/>
        </w:rPr>
        <w:t xml:space="preserve">4.2.1. Activation Success Rate (Conversion to 1st Order)</w:t>
      </w:r>
      <w:r w:rsidDel="00000000" w:rsidR="00000000" w:rsidRPr="00000000">
        <w:rPr>
          <w:rtl w:val="0"/>
        </w:rPr>
      </w:r>
    </w:p>
    <w:p w:rsidR="00000000" w:rsidDel="00000000" w:rsidP="00000000" w:rsidRDefault="00000000" w:rsidRPr="00000000" w14:paraId="0000002D">
      <w:pPr>
        <w:numPr>
          <w:ilvl w:val="1"/>
          <w:numId w:val="16"/>
        </w:numPr>
        <w:pBdr>
          <w:top w:space="0" w:sz="0" w:val="nil"/>
          <w:left w:space="0" w:sz="0" w:val="nil"/>
          <w:bottom w:space="0" w:sz="0" w:val="nil"/>
          <w:right w:space="0" w:sz="0" w:val="nil"/>
          <w:between w:space="0" w:sz="0" w:val="nil"/>
        </w:pBdr>
        <w:spacing w:line="275" w:lineRule="auto"/>
        <w:ind w:left="870" w:hanging="360"/>
        <w:jc w:val="both"/>
        <w:rPr/>
      </w:pPr>
      <w:r w:rsidDel="00000000" w:rsidR="00000000" w:rsidRPr="00000000">
        <w:rPr>
          <w:rFonts w:ascii="Arial" w:cs="Arial" w:eastAsia="Arial" w:hAnsi="Arial"/>
          <w:color w:val="1b1c1d"/>
          <w:rtl w:val="0"/>
        </w:rPr>
        <w:t xml:space="preserve">4.2.2. Critical Drop-off Analysis (1</w:t>
      </w:r>
      <w:r w:rsidDel="00000000" w:rsidR="00000000" w:rsidRPr="00000000">
        <w:rPr>
          <w:rFonts w:ascii="Arial" w:cs="Arial" w:eastAsia="Arial" w:hAnsi="Arial"/>
          <w:color w:val="1b1c1d"/>
          <w:vertAlign w:val="superscript"/>
          <w:rtl w:val="0"/>
        </w:rPr>
        <w:t xml:space="preserve">st</w:t>
      </w:r>
      <w:r w:rsidDel="00000000" w:rsidR="00000000" w:rsidRPr="00000000">
        <w:rPr>
          <w:rFonts w:ascii="Arial" w:cs="Arial" w:eastAsia="Arial" w:hAnsi="Arial"/>
          <w:color w:val="1b1c1d"/>
          <w:rtl w:val="0"/>
        </w:rPr>
        <w:t xml:space="preserve">- 2</w:t>
      </w:r>
      <w:r w:rsidDel="00000000" w:rsidR="00000000" w:rsidRPr="00000000">
        <w:rPr>
          <w:rFonts w:ascii="Arial" w:cs="Arial" w:eastAsia="Arial" w:hAnsi="Arial"/>
          <w:color w:val="1b1c1d"/>
          <w:vertAlign w:val="superscript"/>
          <w:rtl w:val="0"/>
        </w:rPr>
        <w:t xml:space="preserve">nd</w:t>
      </w:r>
      <w:r w:rsidDel="00000000" w:rsidR="00000000" w:rsidRPr="00000000">
        <w:rPr>
          <w:rFonts w:ascii="Arial" w:cs="Arial" w:eastAsia="Arial" w:hAnsi="Arial"/>
          <w:color w:val="1b1c1d"/>
          <w:rtl w:val="0"/>
        </w:rPr>
        <w:t xml:space="preserve"> Order Conversion)</w:t>
      </w:r>
      <w:r w:rsidDel="00000000" w:rsidR="00000000" w:rsidRPr="00000000">
        <w:rPr>
          <w:rtl w:val="0"/>
        </w:rPr>
      </w:r>
    </w:p>
    <w:p w:rsidR="00000000" w:rsidDel="00000000" w:rsidP="00000000" w:rsidRDefault="00000000" w:rsidRPr="00000000" w14:paraId="0000002E">
      <w:pPr>
        <w:numPr>
          <w:ilvl w:val="1"/>
          <w:numId w:val="16"/>
        </w:numPr>
        <w:pBdr>
          <w:top w:space="0" w:sz="0" w:val="nil"/>
          <w:left w:space="0" w:sz="0" w:val="nil"/>
          <w:bottom w:space="0" w:sz="0" w:val="nil"/>
          <w:right w:space="0" w:sz="0" w:val="nil"/>
          <w:between w:space="0" w:sz="0" w:val="nil"/>
        </w:pBdr>
        <w:spacing w:after="120" w:line="275" w:lineRule="auto"/>
        <w:ind w:left="870" w:hanging="360"/>
        <w:jc w:val="both"/>
        <w:rPr/>
      </w:pPr>
      <w:r w:rsidDel="00000000" w:rsidR="00000000" w:rsidRPr="00000000">
        <w:rPr>
          <w:rFonts w:ascii="Arial" w:cs="Arial" w:eastAsia="Arial" w:hAnsi="Arial"/>
          <w:color w:val="1b1c1d"/>
          <w:rtl w:val="0"/>
        </w:rPr>
        <w:t xml:space="preserve">4.2.3. Frequent Buyer Cohort Growth (4+ Orders)</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20" w:before="24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CHAPTER 5: DEEP DIVE INTO FINANCIAL ECONOMICS AND UNIT PROFITABILITY</w:t>
      </w:r>
    </w:p>
    <w:p w:rsidR="00000000" w:rsidDel="00000000" w:rsidP="00000000" w:rsidRDefault="00000000" w:rsidRPr="00000000" w14:paraId="00000030">
      <w:pPr>
        <w:numPr>
          <w:ilvl w:val="0"/>
          <w:numId w:val="17"/>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5.1. Re-evaluation of Customer Acquisition Cost (CAC) Proxy</w:t>
      </w:r>
      <w:r w:rsidDel="00000000" w:rsidR="00000000" w:rsidRPr="00000000">
        <w:rPr>
          <w:rtl w:val="0"/>
        </w:rPr>
      </w:r>
    </w:p>
    <w:p w:rsidR="00000000" w:rsidDel="00000000" w:rsidP="00000000" w:rsidRDefault="00000000" w:rsidRPr="00000000" w14:paraId="00000031">
      <w:pPr>
        <w:numPr>
          <w:ilvl w:val="0"/>
          <w:numId w:val="17"/>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5.2. Customer Lifetime Value (CLV) Calculation and Validation</w:t>
      </w:r>
      <w:r w:rsidDel="00000000" w:rsidR="00000000" w:rsidRPr="00000000">
        <w:rPr>
          <w:rtl w:val="0"/>
        </w:rPr>
      </w:r>
    </w:p>
    <w:p w:rsidR="00000000" w:rsidDel="00000000" w:rsidP="00000000" w:rsidRDefault="00000000" w:rsidRPr="00000000" w14:paraId="00000032">
      <w:pPr>
        <w:numPr>
          <w:ilvl w:val="0"/>
          <w:numId w:val="17"/>
        </w:numPr>
        <w:pBdr>
          <w:top w:space="0" w:sz="0" w:val="nil"/>
          <w:left w:space="0" w:sz="0" w:val="nil"/>
          <w:bottom w:space="0" w:sz="0" w:val="nil"/>
          <w:right w:space="0" w:sz="0" w:val="nil"/>
          <w:between w:space="0" w:sz="0" w:val="nil"/>
        </w:pBdr>
        <w:spacing w:after="120" w:line="275" w:lineRule="auto"/>
        <w:ind w:left="465" w:hanging="360"/>
        <w:jc w:val="both"/>
        <w:rPr/>
      </w:pPr>
      <w:r w:rsidDel="00000000" w:rsidR="00000000" w:rsidRPr="00000000">
        <w:rPr>
          <w:rFonts w:ascii="Arial" w:cs="Arial" w:eastAsia="Arial" w:hAnsi="Arial"/>
          <w:color w:val="1b1c1d"/>
          <w:rtl w:val="0"/>
        </w:rPr>
        <w:t xml:space="preserve">5.3. ROI Analysis by Customer Segment and Geographic Zone</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20" w:before="24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CHAPTER 6: OPERATIONAL AND GEOGRAPHIC PERFORMANCE BENCHMARKING</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6.1. Comparative City Performance Analysis</w:t>
      </w:r>
      <w:r w:rsidDel="00000000" w:rsidR="00000000" w:rsidRPr="00000000">
        <w:rPr>
          <w:rtl w:val="0"/>
        </w:rPr>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6.2. Granular Zone-Level Profitability Mapping</w:t>
      </w:r>
      <w:r w:rsidDel="00000000" w:rsidR="00000000" w:rsidRPr="00000000">
        <w:rPr>
          <w:rtl w:val="0"/>
        </w:rPr>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6.3. Delivery Performance Analysis (DTIMECAT Impact)</w:t>
      </w:r>
      <w:r w:rsidDel="00000000" w:rsidR="00000000" w:rsidRPr="00000000">
        <w:rPr>
          <w:rtl w:val="0"/>
        </w:rPr>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pacing w:after="120" w:line="275" w:lineRule="auto"/>
        <w:ind w:left="465" w:hanging="360"/>
        <w:jc w:val="both"/>
        <w:rPr/>
      </w:pPr>
      <w:r w:rsidDel="00000000" w:rsidR="00000000" w:rsidRPr="00000000">
        <w:rPr>
          <w:rFonts w:ascii="Arial" w:cs="Arial" w:eastAsia="Arial" w:hAnsi="Arial"/>
          <w:color w:val="1b1c1d"/>
          <w:rtl w:val="0"/>
        </w:rPr>
        <w:t xml:space="preserve">6.4. Root Cause Analysis of Failure Points (Returns and Low Satisfaction)</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before="24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CHAPTER 7: CUSTOMER SEGMENTATION STRATEGY</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7.1. Budget Segment: Loyalty and Volume Strategy</w:t>
      </w:r>
      <w:r w:rsidDel="00000000" w:rsidR="00000000" w:rsidRPr="00000000">
        <w:rPr>
          <w:rtl w:val="0"/>
        </w:rPr>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7.2. Mid-range Segment: Satisfaction and Upsell Strategy</w:t>
      </w:r>
      <w:r w:rsidDel="00000000" w:rsidR="00000000" w:rsidRPr="00000000">
        <w:rPr>
          <w:rtl w:val="0"/>
        </w:rPr>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pacing w:after="120" w:line="275" w:lineRule="auto"/>
        <w:ind w:left="465" w:hanging="360"/>
        <w:jc w:val="both"/>
        <w:rPr/>
      </w:pPr>
      <w:r w:rsidDel="00000000" w:rsidR="00000000" w:rsidRPr="00000000">
        <w:rPr>
          <w:rFonts w:ascii="Arial" w:cs="Arial" w:eastAsia="Arial" w:hAnsi="Arial"/>
          <w:color w:val="1b1c1d"/>
          <w:rtl w:val="0"/>
        </w:rPr>
        <w:t xml:space="preserve">7.3. Premium Segment: Addressing Dissatisfaction and Service Mismatch</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before="24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CHAPTER 8: STRATEGIC PROPOSALS FOR GROWTH AND EFFICIENCY</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8.1. Optimized Customer Acquisition Strategy (Focus on Organic/Referral Channels)</w:t>
      </w:r>
      <w:r w:rsidDel="00000000" w:rsidR="00000000" w:rsidRPr="00000000">
        <w:rPr>
          <w:rtl w:val="0"/>
        </w:rPr>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8.2. Tiered Retention and Loyalty Program Design</w:t>
      </w:r>
      <w:r w:rsidDel="00000000" w:rsidR="00000000" w:rsidRPr="00000000">
        <w:rPr>
          <w:rtl w:val="0"/>
        </w:rPr>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8.3. Operational Excellence: Delivery Cost and Time Optimization</w:t>
      </w:r>
      <w:r w:rsidDel="00000000" w:rsidR="00000000" w:rsidRPr="00000000">
        <w:rPr>
          <w:rtl w:val="0"/>
        </w:rPr>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pacing w:after="120" w:line="275" w:lineRule="auto"/>
        <w:ind w:left="465" w:hanging="360"/>
        <w:jc w:val="both"/>
        <w:rPr/>
      </w:pPr>
      <w:r w:rsidDel="00000000" w:rsidR="00000000" w:rsidRPr="00000000">
        <w:rPr>
          <w:rFonts w:ascii="Arial" w:cs="Arial" w:eastAsia="Arial" w:hAnsi="Arial"/>
          <w:color w:val="1b1c1d"/>
          <w:rtl w:val="0"/>
        </w:rPr>
        <w:t xml:space="preserve">8.4. Budget Reallocation Framework for CAC Reduction</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before="24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CHAPTER 9: REVISED BUSINESS MODEL CANVAS AND SCALABILITY</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9.1. Refined Key Partnerships and Activities</w:t>
      </w:r>
      <w:r w:rsidDel="00000000" w:rsidR="00000000" w:rsidRPr="00000000">
        <w:rPr>
          <w:rtl w:val="0"/>
        </w:rPr>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9.2. Enhanced Value Proposition for Tier-2 Consumers</w:t>
      </w:r>
      <w:r w:rsidDel="00000000" w:rsidR="00000000" w:rsidRPr="00000000">
        <w:rPr>
          <w:rtl w:val="0"/>
        </w:rPr>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pacing w:after="120" w:line="275" w:lineRule="auto"/>
        <w:ind w:left="465" w:hanging="360"/>
        <w:jc w:val="both"/>
        <w:rPr/>
      </w:pPr>
      <w:r w:rsidDel="00000000" w:rsidR="00000000" w:rsidRPr="00000000">
        <w:rPr>
          <w:rFonts w:ascii="Arial" w:cs="Arial" w:eastAsia="Arial" w:hAnsi="Arial"/>
          <w:color w:val="1b1c1d"/>
          <w:rtl w:val="0"/>
        </w:rPr>
        <w:t xml:space="preserve">9.3. Future Scaling Strategy to Adjacent Markets</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20" w:before="24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CHAPTER 10: SIMULATED BUSINESS IMPACT AND FINANCIAL PROJECTIONS</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10.1. Projected Improvements in Core KPIs</w:t>
      </w:r>
      <w:r w:rsidDel="00000000" w:rsidR="00000000" w:rsidRPr="00000000">
        <w:rPr>
          <w:rtl w:val="0"/>
        </w:rPr>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10.2. Scenario Modeling (Conservative, Base Case, Optimistic)</w:t>
      </w:r>
      <w:r w:rsidDel="00000000" w:rsidR="00000000" w:rsidRPr="00000000">
        <w:rPr>
          <w:rtl w:val="0"/>
        </w:rPr>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pacing w:after="120" w:line="275" w:lineRule="auto"/>
        <w:ind w:left="465" w:hanging="360"/>
        <w:jc w:val="both"/>
        <w:rPr/>
      </w:pPr>
      <w:r w:rsidDel="00000000" w:rsidR="00000000" w:rsidRPr="00000000">
        <w:rPr>
          <w:rFonts w:ascii="Arial" w:cs="Arial" w:eastAsia="Arial" w:hAnsi="Arial"/>
          <w:color w:val="1b1c1d"/>
          <w:rtl w:val="0"/>
        </w:rPr>
        <w:t xml:space="preserve">10.3. Risk Mitigation and Sensitivity Analysis</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before="24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CHAPTER 11: CONCLUSION AND IMPLEMENTATION ROADMAP</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11.1. Summary of Actionable Recommendations</w:t>
      </w:r>
      <w:r w:rsidDel="00000000" w:rsidR="00000000" w:rsidRPr="00000000">
        <w:rPr>
          <w:rtl w:val="0"/>
        </w:rPr>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pacing w:after="120" w:line="275" w:lineRule="auto"/>
        <w:ind w:left="465" w:hanging="360"/>
        <w:jc w:val="both"/>
        <w:rPr/>
      </w:pPr>
      <w:r w:rsidDel="00000000" w:rsidR="00000000" w:rsidRPr="00000000">
        <w:rPr>
          <w:rFonts w:ascii="Arial" w:cs="Arial" w:eastAsia="Arial" w:hAnsi="Arial"/>
          <w:color w:val="1b1c1d"/>
          <w:rtl w:val="0"/>
        </w:rPr>
        <w:t xml:space="preserve">11.2. Phased Execution Timeline</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20" w:before="24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CHAPTER 12: APPENDIX</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12.1. PPTX Presentation Summary and Key Visuals</w:t>
      </w:r>
      <w:r w:rsidDel="00000000" w:rsidR="00000000" w:rsidRPr="00000000">
        <w:rPr>
          <w:rtl w:val="0"/>
        </w:rPr>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color w:val="1b1c1d"/>
          <w:rtl w:val="0"/>
        </w:rPr>
        <w:t xml:space="preserve">12.2. Full Python Streamlit Code (app.py)</w:t>
      </w:r>
      <w:r w:rsidDel="00000000" w:rsidR="00000000" w:rsidRPr="00000000">
        <w:rPr>
          <w:rtl w:val="0"/>
        </w:rPr>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pacing w:after="120" w:line="275" w:lineRule="auto"/>
        <w:ind w:left="465" w:hanging="360"/>
        <w:jc w:val="both"/>
        <w:rPr/>
      </w:pPr>
      <w:r w:rsidDel="00000000" w:rsidR="00000000" w:rsidRPr="00000000">
        <w:rPr>
          <w:rFonts w:ascii="Arial" w:cs="Arial" w:eastAsia="Arial" w:hAnsi="Arial"/>
          <w:color w:val="1b1c1d"/>
          <w:rtl w:val="0"/>
        </w:rPr>
        <w:t xml:space="preserve">12.3. PowerBI Dashboard Image</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2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2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line="275" w:lineRule="auto"/>
        <w:jc w:val="both"/>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240" w:before="120" w:line="275" w:lineRule="auto"/>
        <w:jc w:val="both"/>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CHAPTER 1: </w:t>
      </w:r>
    </w:p>
    <w:p w:rsidR="00000000" w:rsidDel="00000000" w:rsidP="00000000" w:rsidRDefault="00000000" w:rsidRPr="00000000" w14:paraId="0000005A">
      <w:pPr>
        <w:pStyle w:val="Heading2"/>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EXECUTIVE SUMMARY</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5D">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1.1. Core Business Challenge and Opportunity</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GrovQuick operates as a hyperlocal grocery delivery startup, focusing its efforts on Tier-2 Indian cities including Warangal, Guntur, Nashik, Ujjain, and Hubli.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The core mission is to establish a sustainable and profitable business model capable of competing effectively with established quick commerce giants such as Blinkit and Swiggy Instamart.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While Tier-2 markets offer the inherent advantage of potentially lower operational costs, capturing this market requires mastering unit economics, specifically maximizing Customer Lifetime Value (CLV) relative to Customer Acquisition Cost (CAC).</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Success relies heavily on operational efficiency, superior retention strategies, and leveraging hyperlocal advantages that large competitors often miss.</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primary challenge identified is the requirement to optimize operations to address key churn points and strategically reallocate acquisition spending to more cost-effective channels. Although the initial team report cited a remarkably high CLV-to-CAC ratio (18.9x), this figure is based on an insufficient proxy (delivery cost), demanding an immediate and rigorous financial re-anchoring to ensure the proposed strategies are grounded in reality.</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62">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1.2. Key Analytical Findings</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Analysis of the 500-customer dataset reveals strong inherent unit economics, tempered by critical retention and quality assurance failures.</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initial report stated an average CLV-to-CAC ratio of 18.9x, using the average delivery cost of ₹64.73 as the CAC proxy.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However, analysis of the underlying technical data provided in the Streamlit application code suggests a more realistic, segmented CAC assumption averaging around ₹300.</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Based on the average reported CLV of ₹1,221.00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the revised, financially sound CLV/CAC ratio stands at </w:t>
      </w:r>
      <w:r w:rsidDel="00000000" w:rsidR="00000000" w:rsidRPr="00000000">
        <w:rPr>
          <w:rFonts w:ascii="Arial" w:cs="Arial" w:eastAsia="Arial" w:hAnsi="Arial"/>
          <w:b w:val="1"/>
          <w:color w:val="1b1c1d"/>
          <w:rtl w:val="0"/>
        </w:rPr>
        <w:t xml:space="preserve">4.07:1</w:t>
      </w:r>
      <w:r w:rsidDel="00000000" w:rsidR="00000000" w:rsidRPr="00000000">
        <w:rPr>
          <w:rFonts w:ascii="Arial" w:cs="Arial" w:eastAsia="Arial" w:hAnsi="Arial"/>
          <w:color w:val="1b1c1d"/>
          <w:rtl w:val="0"/>
        </w:rPr>
        <w:t xml:space="preserve">. This figure remains highly favorable against the industry benchmark of 2:1 to 4:1, confirming the business's inherent profitability but signaling potential underinvestment in growth marketing.</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A critical operational vulnerability exists in the customer funnel: 14.2% of registered customers drop off after placing only their first order.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massive drop-off represents the highest leverage point for improving retention, necessitating targeted interventions to encourage the crucial second purchase and accelerate habit formation.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Geographic performance is concentrated, with Warangal and Nashik emerging as the most valuable markets based on CLV and Order Frequency.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Granular analysis of operational zones via the PowerBI dashboard confirms that Zone A is the most successful blueprint, leading in total profit (₹45,470.84) and overall satisfaction score (411) [Image 1]. Conversely, Zone C exhibits the lowest total profitability (₹38,379.65), correlating with high instances of low satisfaction, often linked to slow delivery times.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Customer Segmentation analysis reveals that the Premium segment, despite its high average order value potential, suffers from the lowest average satisfaction score (2.82/5) and the lowest ROI.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Furthermore, data indicates that low satisfaction and order returns occur even when delivery speed is categorized as 'Fast,' pointing definitively toward failure points related to product quality, fulfillment accuracy, or inventory management, rather than simple logistics speed.</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6A">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1.3. Strategic Recommendations Summary</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proposed strategy focuses on transitioning from a model obsessed purely with speed to one that emphasizes quality, targeted loyalty, and efficient, low-CAC acquisition.</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b w:val="1"/>
          <w:color w:val="1b1c1d"/>
          <w:rtl w:val="0"/>
        </w:rPr>
        <w:t xml:space="preserve">Financial Re-Anchoring:</w:t>
      </w:r>
      <w:r w:rsidDel="00000000" w:rsidR="00000000" w:rsidRPr="00000000">
        <w:rPr>
          <w:rFonts w:ascii="Arial" w:cs="Arial" w:eastAsia="Arial" w:hAnsi="Arial"/>
          <w:color w:val="1b1c1d"/>
          <w:rtl w:val="0"/>
        </w:rPr>
        <w:t xml:space="preserve"> All future financial modeling must adopt the realistic internal CAC target of approximately ₹300. This provides a clear path to managing acquisition spending while maintaining a superior CLV/CAC ratio, targeting 5:1 for optimized growth.</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b w:val="1"/>
          <w:color w:val="1b1c1d"/>
          <w:rtl w:val="0"/>
        </w:rPr>
        <w:t xml:space="preserve">Fulfillment Quality Mandate:</w:t>
      </w:r>
      <w:r w:rsidDel="00000000" w:rsidR="00000000" w:rsidRPr="00000000">
        <w:rPr>
          <w:rFonts w:ascii="Arial" w:cs="Arial" w:eastAsia="Arial" w:hAnsi="Arial"/>
          <w:color w:val="1b1c1d"/>
          <w:rtl w:val="0"/>
        </w:rPr>
        <w:t xml:space="preserve"> Implementation of strict quality control audits is mandatory to address the non-delivery failure points, particularly for the Premium segment. The business must ensure the correct, undamaged product is delivered quickly, as speed alone cannot compensate for fulfillment errors.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b w:val="1"/>
          <w:color w:val="1b1c1d"/>
          <w:rtl w:val="0"/>
        </w:rPr>
        <w:t xml:space="preserve">Channel Shift and Retention Focus:</w:t>
      </w:r>
      <w:r w:rsidDel="00000000" w:rsidR="00000000" w:rsidRPr="00000000">
        <w:rPr>
          <w:rFonts w:ascii="Arial" w:cs="Arial" w:eastAsia="Arial" w:hAnsi="Arial"/>
          <w:color w:val="1b1c1d"/>
          <w:rtl w:val="0"/>
        </w:rPr>
        <w:t xml:space="preserve"> Acquisition efforts must aggressively reallocate budget away from expensive paid channels (Paid Search/Social) and towards highly efficient, low-CAC organic channels (Referral and Hyperlocal SEO). Concurrently, immediate implementation of email and SMS automation is required to convert the maximum number of the 14.2% first-time users into repeat purchasers.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Table 1.1: Consolidated Unit Economics and Profitability Overview (Initial Metrics vs. Benchmark)</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Current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E-commerce Benchmark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Analytical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Average CLV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₹1,221.00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Average CAC Proxy (Delivery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₹64.73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Unrealistically 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CLV/CAC Ratio (A/B)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18.9x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2:1 – 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Requires Recalibration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Critical Drop-off Rate (1st 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Target &lt;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High Risk</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240" w:before="120" w:line="275" w:lineRule="auto"/>
        <w:jc w:val="both"/>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240" w:before="120" w:line="275" w:lineRule="auto"/>
        <w:jc w:val="both"/>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240" w:before="120" w:line="275" w:lineRule="auto"/>
        <w:jc w:val="both"/>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240" w:before="120" w:line="275" w:lineRule="auto"/>
        <w:jc w:val="both"/>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240" w:before="120" w:line="275" w:lineRule="auto"/>
        <w:jc w:val="both"/>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240" w:before="120" w:line="275" w:lineRule="auto"/>
        <w:jc w:val="both"/>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240" w:before="120" w:line="275" w:lineRule="auto"/>
        <w:jc w:val="both"/>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240" w:before="120" w:line="275" w:lineRule="auto"/>
        <w:jc w:val="both"/>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240" w:before="120" w:line="275" w:lineRule="auto"/>
        <w:jc w:val="both"/>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240" w:before="120" w:line="275" w:lineRule="auto"/>
        <w:jc w:val="both"/>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240" w:before="120" w:line="275"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CHAPTER 2: </w:t>
      </w:r>
    </w:p>
    <w:p w:rsidR="00000000" w:rsidDel="00000000" w:rsidP="00000000" w:rsidRDefault="00000000" w:rsidRPr="00000000" w14:paraId="00000091">
      <w:pPr>
        <w:pStyle w:val="Heading2"/>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INTRODUCTION TO THE QUICK COMMERCE LANDSCAPE</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93">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2.1. Case Overview and Business Objectives</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GrovQuick is strategically positioned to exploit the burgeoning demand for quick grocery delivery in Tier-2 Indian cities.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The core objective of the business is to construct a scalable and profitable quick-commerce model that can sustain operations and expand successfully across comparable mid-tier urban centers.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The operating model relies on delivering essential goods within a promised timeframe, often targeting the aggressive 30-minute benchmark common in the sector.</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competitive environment is intense, even in Tier-2 cities, as established national players possessing deep capital reserves are actively expanding their footprints.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Consequently, GrovQuick must pivot its strategy from generic scaling to hyper-efficient operation, focusing on three key performance indicators: dramatically increasing CLV through robust loyalty, substantially reducing CAC via organic channels, and improving the overall financial health measured by the CLV/CAC ratio.</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98">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2.2. Hyperlocal Grocery Market Dynamics in Tier-2 Cities</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Indian hyperlocal delivery sector is undergoing massive expansion, projected to achieve an impressive Compound Annual Growth Rate (CAGR) exceeding 50% between the fiscal years 2021 and 2025 (E).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b1c1d"/>
          <w:rtl w:val="0"/>
        </w:rPr>
        <w:t xml:space="preserve"> This expansion is fueled by accelerated digital adoption and rising consumer expectations for immediate gratification, often encapsulated by the 10-15 minute delivery standard being set nationally.</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Tier-2 cities present a distinctive market environment compared to metro areas. They typically feature lower associated operational infrastructure costs and less competitive saturation, offering GrovQuick a potential avenue for establishing local market dominance.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However, sustaining this dominance requires adopting advanced technologies, including AI-driven inventory management, sophisticated routing systems, and establishing micro-warehousing networks for proximity fulfillment.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b1c1d"/>
          <w:rtl w:val="0"/>
        </w:rPr>
        <w:t xml:space="preserve"> GrovQuick’s success hinges on perfecting the hyperlocal delivery model—fulfilling orders from nearby retail points rather than centralized warehouses—which is paramount for minimizing delivery costs and maintaining speed reliability.</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Given that grocery retail remains highly price-sensitive in these markets, GrovQuick must also employ strategic pricing intelligence.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b1c1d"/>
          <w:rtl w:val="0"/>
        </w:rPr>
        <w:t xml:space="preserve"> Retailers in this sector are increasingly adopting hyperlocal data intelligence systems, potentially utilizing web scraping technology, to dynamically monitor pricing among local vendors and competing platforms.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b1c1d"/>
          <w:rtl w:val="0"/>
        </w:rPr>
        <w:t xml:space="preserve"> This practice is necessary to ensure competitive alignment and enables the tactical deployment of discounts or adjustments to stock-keeping units (SKUs) based on real-time market movement.</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9E">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2.3. Report Scope and Analytical Methodology</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This analysis provides a comprehensive, data-driven review of GrovQuick’s current performance and strategic outlook.</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The methodology is structured around standard consulting report practices, moving systematically from problem identification and data analysis to strategic findings and actionable recommendations.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analysis leverages a dataset of 500 customers, segmented across five cities and four operational zones.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Critical steps in the analytical process involved internal data validation, particularly correcting the fundamentally flawed initial calculation of the CLV/CAC ratio. By synthesizing quantitative data from the raw CSV data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the visual aggregates presented in the PowerBI dashboard [Image 1], and the computed metrics defined within the Streamlit Python application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the report establishes a robust foundation for strategic recommendations and financial projections.</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240" w:before="120" w:line="275" w:lineRule="auto"/>
        <w:jc w:val="both"/>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240" w:before="120" w:line="275" w:lineRule="auto"/>
        <w:jc w:val="both"/>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240" w:before="120" w:line="275" w:lineRule="auto"/>
        <w:jc w:val="both"/>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240" w:before="120" w:line="275" w:lineRule="auto"/>
        <w:jc w:val="both"/>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240" w:before="120" w:line="275" w:lineRule="auto"/>
        <w:jc w:val="both"/>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240" w:before="120" w:line="275" w:lineRule="auto"/>
        <w:jc w:val="both"/>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CHAPTER 3: </w:t>
      </w:r>
    </w:p>
    <w:p w:rsidR="00000000" w:rsidDel="00000000" w:rsidP="00000000" w:rsidRDefault="00000000" w:rsidRPr="00000000" w14:paraId="000000AA">
      <w:pPr>
        <w:pStyle w:val="Heading2"/>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DATA ARCHITECTURE AND VALIDATION</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AD">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3.1. Dataset Structure and Feature Engineering (Review of hyper.csv)</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provided dataset offers a detailed view of transactional and behavioral attributes crucial for understanding customer value and operational bottlenecks.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Key fields include AvgOrderValue, OrderFrequency, and DeliveryCost, which enable core profitability calculation. Qualitative feedback is captured through SatisfactionScore (1-5) and ReturnedOrders.</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initial data processing undertaken by the GrovQuick team included crucial feature engineering to categorize delivery performance and internal financial metrics. For example, calculated columns such as ProfitPerOrder, Cost2Value, and ReturnRate were generated.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Importantly, delivery performance was segmented into time categories (DTIMECAT: Fast, Average, Slow), which is vital for correlating delivery speed directly with customer sentiment and retention outcomes.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B2">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3.2. Technical Deep Dive: The Streamlit Application (app.py)</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utilization of a Streamlit application showcases the team's capacity for developing interactive and professional dashboards, facilitating robust analysis and data visualization.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The application structure is designed to guide users through the entire case combat narrative, covering EDA, Funnel Analysis, ROI metrics, strategic proposals, and simulated impact.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B6">
      <w:pPr>
        <w:pStyle w:val="Heading4"/>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3.2.1. Analysis of Computed Metrics (CLV, ROI, and CAC Proxy Critique)</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Streamlit code explicitly defines the engineering of key strategic metrics, which is crucial for assessing the integrity of the financial model.</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Customer Lifetime Value (CLV) was calculated as the product of AvgOrderValue and OrderFrequency.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While this simplified model assumes a fixed customer lifespan (implicit in the aggregated customer profile data), it serves as a reliable proxy for quantifying the total value generated per customer in the observed period.</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most critical discrepancy lies in the calculation of CAC. While the Word report used the highly unrealistic delivery cost (₹64.73) as a CAC proxy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the Streamlit code introduces a more sophisticated, segmented assumption for CAC.</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segmented approach acknowledges that acquisition costs vary based on the perceived value of the segment: Premium customers were assumed to cost ₹500, Mid-range ₹300, and Budget ₹200.</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assignment, averaging approximately ₹300, is a grounded estimate of blended acquisition spend (marketing campaigns, technology overhead, etc.)—costs that are invariably higher than the mere variable delivery expense.</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financial analysis must be anchored to this internal, estimated CAC figure (₹300 average) as it represents a far more accurate representation of the investment required to acquire a customer. Relying on the ₹64.73 figure fundamentally misrepresents the profitability landscape, leading to an artificially inflated CLV/CAC ratio and erroneous conclusions regarding marketing efficacy. The final profitability metric, Return on Investment (ROI), was correctly calculated as CLV minus CAC, confirming the team's objective of focusing on net value generation.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BD">
      <w:pPr>
        <w:pStyle w:val="Heading4"/>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3.2.2. Interactive Data Visualization Capabilities</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Streamlit interface successfully democratizes the data, allowing stakeholders to dynamically filter performance metrics by City, CustomerSegment, and Zone.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Key visualizations within the EDA section include pie charts detailing customer segment distribution, histograms for satisfaction scores and order frequency, and bar charts mapping customer counts across cities and zones.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capability ensures that strategic decisions can be continually monitored against real-time operational performance across various geographic and behavioral cohorts.</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C1">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3.3. PowerBI Dashboard Analysis and Data Confirmation</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PowerBI dashboard visual provides an immediate and aggregate confirmation of the business’s financial health and spatial concentration of activity [Image 1]. The total Sum of ProfitPerOrder stands at </w:t>
      </w:r>
      <w:r w:rsidDel="00000000" w:rsidR="00000000" w:rsidRPr="00000000">
        <w:rPr>
          <w:rFonts w:ascii="Arial" w:cs="Arial" w:eastAsia="Arial" w:hAnsi="Arial"/>
          <w:b w:val="1"/>
          <w:color w:val="1b1c1d"/>
          <w:rtl w:val="0"/>
        </w:rPr>
        <w:t xml:space="preserve">168.23K</w:t>
      </w:r>
      <w:r w:rsidDel="00000000" w:rsidR="00000000" w:rsidRPr="00000000">
        <w:rPr>
          <w:rFonts w:ascii="Arial" w:cs="Arial" w:eastAsia="Arial" w:hAnsi="Arial"/>
          <w:color w:val="1b1c1d"/>
          <w:rtl w:val="0"/>
        </w:rPr>
        <w:t xml:space="preserve"> (assumed in ₹ thousands), validating the overall positive unit economics established by the team.</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dashboard confirms the density of activity by segment: Mid-range customers account for the highest frequency (630 orders, 41.75%), followed closely by Budget customers (601 orders, 39.83%) [Image 1]. These two segments collectively drive over 80% of the transaction volume, underlining their importance to maintaining operational scale.</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Geographically, the Sum of ProfitPerOrder confirms the strategic importance of three key cities—Guntur, Nashik, and Warangal—which collectively dominate the profitability landscape [Image 1]. Furthermore, a detailed zone-level profit mapping is available. Zone A is clearly the highest profit zone (₹45,470.84 ProfitPerOrder) and correlates strongly with high aggregate satisfaction scores (411) [Image 1]. This finding validates Zone A as the model for operational excellence. Conversely, Zone C exhibits the lowest total profit (₹38,379.65), necessitating specific operational interventions.</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255" w:line="275" w:lineRule="auto"/>
        <w:jc w:val="both"/>
        <w:rPr>
          <w:rFonts w:ascii="Arial" w:cs="Arial" w:eastAsia="Arial" w:hAnsi="Arial"/>
          <w:color w:val="1b1c1d"/>
        </w:rPr>
      </w:pPr>
      <w:hyperlink r:id="rId9">
        <w:r w:rsidDel="00000000" w:rsidR="00000000" w:rsidRPr="00000000">
          <w:rPr>
            <w:rFonts w:ascii="Arial" w:cs="Arial" w:eastAsia="Arial" w:hAnsi="Arial"/>
            <w:color w:val="0000ff"/>
            <w:u w:val="single"/>
            <w:rtl w:val="0"/>
          </w:rPr>
          <w:t xml:space="preserve">jjjg - Power BI</w:t>
        </w:r>
      </w:hyperlink>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CHAPTER 4: </w:t>
      </w:r>
    </w:p>
    <w:p w:rsidR="00000000" w:rsidDel="00000000" w:rsidP="00000000" w:rsidRDefault="00000000" w:rsidRPr="00000000" w14:paraId="000000CB">
      <w:pPr>
        <w:pStyle w:val="Heading2"/>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EXPLORATORY DATA ANALYSIS (EDA) AND FUNNEL PERFORMANCE</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CE">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4.1. Core Metric Benchmarking (AOV, Frequency, Delivery Metrics)</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foundational performance metrics provide a baseline understanding of GrovQuick’s operating environment.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The Average Order Value (AOV) is ₹401.19, supported by an Average Order Frequency of 3.02 orders.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The average delivery time across all transactions hovers around the target threshold, with an overall Average Delivery Cost of ₹64.73 and an Average Satisfaction Score of 2.99 out of 5.0.</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Analysis of delivery times across the five major cities provides nuance.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While Warangal (28.91 minutes), Nashik (29.80 minutes), and Hubli (29.61 minutes) operate very close to the 30-minute promise, Guntur (25.16 minutes) and Ujjain (27.27 minutes) demonstrate significantly faster average fulfillment times.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A crucial finding is that despite Guntur and Ujjain achieving better average delivery speed, they do not correlate with the highest aggregate profit concentration, which is commanded by Warangal and Nashik [Image 1]. This suggests that profitability in these Tier-2 markets is not solely driven by marginal speed gains but rather by a combination of high customer density, high average order value, and successful retention efforts in the dominant markets.</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D3">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4.2. Customer Funnel Analysis and Retention Gaps</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customer journey is analyzed across four defined stages: Registration, Placement of 1 Order, Placement of 2-3 Orders, and becoming a Frequent Buyer (4+ Orders).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D8">
      <w:pPr>
        <w:pStyle w:val="Heading4"/>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4.2.1. Activation Success Rate (Conversion to 1st Order)</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GrovQuick demonstrates high initial customer engagement. An impressive 94.6% of registered users successfully place at least one order.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strong activation rate confirms effective product market fit and successful initial app onboarding. Customers clearly perceive sufficient value in the initial quick-commerce proposition to overcome the barrier of placing their first order.</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DC">
      <w:pPr>
        <w:pStyle w:val="Heading4"/>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4.2.2. Critical Drop-off Analysis (1st $\rightarrow$ 2nd Order Conversion)</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conversion funnel reveals a severe bottleneck immediately following the first purchase. The conversion rate from the 1st to the 2nd order is 73.5%, meaning </w:t>
      </w:r>
      <w:r w:rsidDel="00000000" w:rsidR="00000000" w:rsidRPr="00000000">
        <w:rPr>
          <w:rFonts w:ascii="Arial" w:cs="Arial" w:eastAsia="Arial" w:hAnsi="Arial"/>
          <w:b w:val="1"/>
          <w:color w:val="1b1c1d"/>
          <w:rtl w:val="0"/>
        </w:rPr>
        <w:t xml:space="preserve">14.2% of users cease purchasing immediately after their inaugural order</w:t>
      </w:r>
      <w:r w:rsidDel="00000000" w:rsidR="00000000" w:rsidRPr="00000000">
        <w:rPr>
          <w:rFonts w:ascii="Arial" w:cs="Arial" w:eastAsia="Arial" w:hAnsi="Arial"/>
          <w:color w:val="1b1c1d"/>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represents the primary point of customer churn and constitutes the highest leverage opportunity for maximizing Customer Lifetime Value (CLV).</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high failure rate immediately after the first transaction indicates that while the initial marketing promise attracts the user, the execution of the first order (e.g., product quality, fulfillment accuracy, post-purchase communication, or unexpected delivery complexity) frequently fails to meet expectations or establish purchasing habit.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Resolving this critical gap must be the immediate focus, as successful conversion of this 14.2% cohort into repeat buyers would significantly improve the overall long-term financial health and CLV.</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E1">
      <w:pPr>
        <w:pStyle w:val="Heading4"/>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4.2.3. Frequent Buyer Cohort Growth (4+ Orders)</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Once a customer commits to repeat purchasing, retention is strong. Currently, 34.2% of the customer base qualifies as Frequent Buyers (4+ orders).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The conversion rate from the middle cohort (2-3 orders) to this highly loyal, valuable cohort is 42.0%.</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finding demonstrates that the existing loyalty structure, while informal, is robust among committed users. The strategic imperative is therefore to deploy targeted loyalty programs to expand the 2-3 order cohort and push these mid-level users into the highly profitable Frequent Buyer status.</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240" w:before="120" w:line="275" w:lineRule="auto"/>
        <w:jc w:val="both"/>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240" w:before="120" w:line="275" w:lineRule="auto"/>
        <w:jc w:val="both"/>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CHAPTER 5: </w:t>
      </w:r>
    </w:p>
    <w:p w:rsidR="00000000" w:rsidDel="00000000" w:rsidP="00000000" w:rsidRDefault="00000000" w:rsidRPr="00000000" w14:paraId="000000E7">
      <w:pPr>
        <w:pStyle w:val="Heading2"/>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DEEP DIVE INTO FINANCIAL ECONOMICS AND UNIT PROFITABILITY</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EA">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5.1. Re-evaluation of Customer Acquisition Cost (CAC) Proxy</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stated CLV/CAC ratio of 18.9x, based on an average CAC proxy of ₹64.73 (delivery cost), is fundamentally unreliable.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In business finance, the delivery cost represents a variable operational expense associated with fulfillment, not the total fixed and variable costs associated with acquiring a customer (marketing spend, technology overhead, sales commissions, etc.).</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Industry benchmarks for e-commerce and similar sectors typically advise a sustainable CLV/CAC ratio between 2:1 and 4:1.</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b1c1d"/>
          <w:rtl w:val="0"/>
        </w:rPr>
        <w:t xml:space="preserve"> A ratio as inflated as 18.9x indicates massive underinvestment in marketing and growth, suggesting that GrovQuick is leaving significant market share opportunities unexploited.</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To establish a defensible financial model, this report adopts the segmented CAC assumptions defined within the Streamlit application code, which sets acquisition costs based on perceived segment value (Premium: ₹500, Mid-range: ₹300, Budget: ₹200).</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methodology yields a weighted average acquisition cost of approximately </w:t>
      </w:r>
      <w:r w:rsidDel="00000000" w:rsidR="00000000" w:rsidRPr="00000000">
        <w:rPr>
          <w:rFonts w:ascii="Arial" w:cs="Arial" w:eastAsia="Arial" w:hAnsi="Arial"/>
          <w:b w:val="1"/>
          <w:color w:val="1b1c1d"/>
          <w:rtl w:val="0"/>
        </w:rPr>
        <w:t xml:space="preserve">₹300</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Using the average reported CLV (₹1,221) and the revised CAC (₹300), the realistic CLV/CAC ratio for GrovQuick is calculated at </w:t>
      </w:r>
      <w:r w:rsidDel="00000000" w:rsidR="00000000" w:rsidRPr="00000000">
        <w:rPr>
          <w:rFonts w:ascii="Arial" w:cs="Arial" w:eastAsia="Arial" w:hAnsi="Arial"/>
          <w:b w:val="1"/>
          <w:color w:val="1b1c1d"/>
          <w:rtl w:val="0"/>
        </w:rPr>
        <w:t xml:space="preserve">4.07:1</w:t>
      </w:r>
      <w:r w:rsidDel="00000000" w:rsidR="00000000" w:rsidRPr="00000000">
        <w:rPr>
          <w:rFonts w:ascii="Arial" w:cs="Arial" w:eastAsia="Arial" w:hAnsi="Arial"/>
          <w:color w:val="1b1c1d"/>
          <w:rtl w:val="0"/>
        </w:rPr>
        <w:t xml:space="preserve">. This ratio is highly favorable—just above the 3:1 ideal benchmark—and demonstrates that the business possesses exceptional intrinsic unit economics. The primary financial conclusion is not that GrovQuick is unprofitable, but rather that it can afford, and indeed </w:t>
      </w:r>
      <w:r w:rsidDel="00000000" w:rsidR="00000000" w:rsidRPr="00000000">
        <w:rPr>
          <w:rFonts w:ascii="Arial" w:cs="Arial" w:eastAsia="Arial" w:hAnsi="Arial"/>
          <w:i w:val="1"/>
          <w:color w:val="1b1c1d"/>
          <w:rtl w:val="0"/>
        </w:rPr>
        <w:t xml:space="preserve">must</w:t>
      </w:r>
      <w:r w:rsidDel="00000000" w:rsidR="00000000" w:rsidRPr="00000000">
        <w:rPr>
          <w:rFonts w:ascii="Arial" w:cs="Arial" w:eastAsia="Arial" w:hAnsi="Arial"/>
          <w:color w:val="1b1c1d"/>
          <w:rtl w:val="0"/>
        </w:rPr>
        <w:t xml:space="preserve">, significantly increase its growth expenditure to maximize its market capture potential without risking its healthy profitability structure.</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Table 5.1: Consolidated Unit Economics and Profitability Overview (Revised Metrics)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Revised CAC (₹300)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Revised CLV/CAC Ratio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Average CLV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₹1,221.00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₹1,221.00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Average CAC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₹64.73 (Proxy)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₹300.00 (Estimated)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CLV/CAC Ratio (A/B)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18.9x (Flawed)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4.07:1 (Realistic)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Excellent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Average Net Profit per Customer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₹1,156.27 (Flawed)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₹921.00 (Realistic)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Strong</w:t>
            </w:r>
          </w:p>
        </w:tc>
      </w:tr>
    </w:tbl>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240" w:before="48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06">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5.2. Customer Lifetime Value (CLV) Calculation and Validation</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calculation of CLV (AOV x Frequency) remains a practical method for quantifying customer value based on the current dataset structure.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analysis confirms that strategic investments should be anchored in the markets and segments that yield the highest CLV.</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Geographically, Warangal leads with the highest average CLV (₹1,313.58), followed closely by Nashik (₹1,261.70).</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These two cities are unequivocally the strategic anchors for expansion and marketing concentration. Conversely, Ujjain displays the lowest CLV (₹1,114.37), indicating potential challenges in either customer scale, order frequency, or average order value, warranting closer scrutiny before increased investment is allocated.</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When utilizing the revised CAC of ₹300, the Average Net Profit per Customer, calculated as CLV minus CAC, is a robust </w:t>
      </w:r>
      <w:r w:rsidDel="00000000" w:rsidR="00000000" w:rsidRPr="00000000">
        <w:rPr>
          <w:rFonts w:ascii="Arial" w:cs="Arial" w:eastAsia="Arial" w:hAnsi="Arial"/>
          <w:b w:val="1"/>
          <w:color w:val="1b1c1d"/>
          <w:rtl w:val="0"/>
        </w:rPr>
        <w:t xml:space="preserve">₹921.00</w:t>
      </w:r>
      <w:r w:rsidDel="00000000" w:rsidR="00000000" w:rsidRPr="00000000">
        <w:rPr>
          <w:rFonts w:ascii="Arial" w:cs="Arial" w:eastAsia="Arial" w:hAnsi="Arial"/>
          <w:color w:val="1b1c1d"/>
          <w:rtl w:val="0"/>
        </w:rPr>
        <w:t xml:space="preserve">, confirming substantial profitability per user.</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0C">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5.3. ROI Analysis by Customer Segment and Geographic Zone</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internal ROI metrics, while calculated using the flawed CAC proxy, still reliably identify the best-performing segments and locations based on CLV. The Budget segment generates the highest absolute ROI (₹1,188.51) when using the proxy figure, primarily due to its high, sustainable order frequency (3.04 orders).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segment, despite being price-sensitive, exhibits the greatest loyalty and volume and is critical to the business’s foundational profitability.</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Geographically, Warangal (ROI ₹1,248.55) and Nashik (ROI ₹1,197.64) confirm their dominance as the markets offering the strongest returns.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Future growth strategies must prioritize reinforcing these market leaders while using their operational models to fix underperforming regions.</w:t>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240" w:before="120" w:line="275" w:lineRule="auto"/>
        <w:jc w:val="both"/>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CHAPTER 6: </w:t>
      </w:r>
    </w:p>
    <w:p w:rsidR="00000000" w:rsidDel="00000000" w:rsidP="00000000" w:rsidRDefault="00000000" w:rsidRPr="00000000" w14:paraId="00000113">
      <w:pPr>
        <w:pStyle w:val="Heading2"/>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OPERATIONAL AND GEOGRAPHIC PERFORMANCE BENCHMARKING</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16">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6.1. Comparative City Performance Analysis</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A comprehensive comparison of performance metrics across cities reveals varied operational success. Warangal and Nashik demonstrate superior CLV and order frequency, translating to high market acceptance and operational consistency.</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Hubli, while not the highest in profit aggregation, achieves the highest average satisfaction score (3.63/5) among all cities.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high satisfaction level suggests strong execution of the last-mile delivery experience in Hubli, providing a potential template for customer service excellence that could be replicated in other cities, even those with higher total sales volume. Guntur, despite having the fastest average delivery time (25.16 minutes), does not surpass Warangal or Nashik in aggregate profit.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reinforces the conclusion that delivery speed alone is an insufficient condition for market dominance; scale and high AOV must complement efficient logistics.</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Pr>
        <w:drawing>
          <wp:inline distB="0" distT="0" distL="0" distR="0">
            <wp:extent cx="4267796" cy="2648320"/>
            <wp:effectExtent b="0" l="0" r="0" t="0"/>
            <wp:docPr id="194944102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267796" cy="264832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1C">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6.2. Granular Zone-Level Profitability Mapping</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PowerBI dashboard provides the definitive operational blueprint by breaking down performance into operational zones [Image 1].</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Zone A emerges as the benchmark for efficiency and customer success, leading significantly in the Sum of ProfitPerOrder (₹45,470.84) and registering the highest aggregate Sum of Satisfaction Score (411) [Image 1]. The success of Zone A validates the entire hyperlocal operational model when executed effectively.</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Zone D (₹42,690.62) and Zone B (₹41,690.50) also contribute substantially to the platform’s financial strength [Image 1]. Zone C, however, is a clear outlier, exhibiting the lowest total profit aggregation (₹38,379.65) and the lowest aggregate satisfaction (333) [Image 1]. This zone requires an immediate, focused operational review to diagnose and resolve the specific bottlenecks impairing profitability and customer experience.</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Pr>
        <w:drawing>
          <wp:inline distB="0" distT="0" distL="0" distR="0">
            <wp:extent cx="5462403" cy="3647774"/>
            <wp:effectExtent b="0" l="0" r="0" t="0"/>
            <wp:docPr id="194944102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62403" cy="3647774"/>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Table 6.1: Geographic and Operational Performance by Zone (Extracted from PowerBI)</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Zone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Sum of AvgOrderValue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Sum of DeliveryCost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Sum of ProfitPerOrder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Sum of SatisfactionScore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Implied Profit Density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Zone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54,141.81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8,670.97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45,470.84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411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Highest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Zone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50,619.19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7,928.57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42,690.62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377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Zone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49,982.54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8,292.03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41,690.50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376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Zone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45,851.23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7,471.58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38,379.65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333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Lowest</w:t>
            </w:r>
          </w:p>
        </w:tc>
      </w:tr>
    </w:tbl>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240" w:before="48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44">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6.3. Delivery Performance Analysis (DTIMECAT Impact)</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Delivery performance categories (DTIMECAT: Fast, Average, Slow) are instrumental in assessing the quick commerce promise. The data confirms that slow delivery times clearly correlate with instances of low satisfaction, particularly in challenging areas like Warangal Zone C and Nashik Zone D, affecting the Mid-range segment.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suggests that poor communication or failure to meet the guaranteed speed severely damages confidence among specific cohorts.</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However, detailed transactional data reveals that low satisfaction (Score 1) occurred even in instances where delivery was categorized as </w:t>
      </w:r>
      <w:r w:rsidDel="00000000" w:rsidR="00000000" w:rsidRPr="00000000">
        <w:rPr>
          <w:rFonts w:ascii="Arial" w:cs="Arial" w:eastAsia="Arial" w:hAnsi="Arial"/>
          <w:b w:val="1"/>
          <w:color w:val="1b1c1d"/>
          <w:rtl w:val="0"/>
        </w:rPr>
        <w:t xml:space="preserve">Fast</w:t>
      </w:r>
      <w:r w:rsidDel="00000000" w:rsidR="00000000" w:rsidRPr="00000000">
        <w:rPr>
          <w:rFonts w:ascii="Arial" w:cs="Arial" w:eastAsia="Arial" w:hAnsi="Arial"/>
          <w:color w:val="1b1c1d"/>
          <w:rtl w:val="0"/>
        </w:rPr>
        <w:t xml:space="preserve"> (e.g., Ujjain, Budget segment, ID 9 and 43).</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discovery indicates that the quick delivery speed itself is merely table stakes in the Q-commerce industry. While logistics excellence prevents customer alienation, it does not guarantee satisfaction.</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48">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6.4. Root Cause Analysis of Failure Points (Returns and Low Satisfaction)</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widespread prevalence of low satisfaction (Score &lt; 3) across all cities, zones, and customer segments (Budget, Mid-range, Premium) suggests a systemic issue that transcends simple geographic or demographic variation.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most profound finding is the existence of the Fulfillment/Quality Paradox: Orders were returned even by customers reporting high satisfaction (Score 5, ID 11) or moderate satisfaction (Score 4, ID 41).</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Conversely, very low satisfaction scores were recorded despite fast delivery times.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combination of outcomes forces the conclusion that the primary failure points are not solely attributed to logistics timing, but rather to systemic issues related to </w:t>
      </w:r>
      <w:r w:rsidDel="00000000" w:rsidR="00000000" w:rsidRPr="00000000">
        <w:rPr>
          <w:rFonts w:ascii="Arial" w:cs="Arial" w:eastAsia="Arial" w:hAnsi="Arial"/>
          <w:b w:val="1"/>
          <w:color w:val="1b1c1d"/>
          <w:rtl w:val="0"/>
        </w:rPr>
        <w:t xml:space="preserve">Product Quality, Fulfillment Accuracy, and Inventory/Picking Errors</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A fast delivery of the wrong item, a damaged product, or an incomplete order results in a returned order and a high likelihood of churn, regardless of the time taken for delivery. GrovQuick’s strategic competitive advantage must therefore shift focus to ensuring reliability and quality control in micro-fulfillment operations, recognizing that these factors are more critical for long-term CLV than marginal gains in speed over competitors.</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Table 6.2: Summary of Critical Failure Points (Low Satisfaction / High Returns)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Failure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Example Customer 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Key 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Inferred Root Cause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Low Sat. despite Fast Delivery (Score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9, 43, 119, 453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Budget/Premium Segment, Fast DTIMECAT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Fulfillment Error, Pricing Issue, Product Quality, or Missing Items.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Low Sat. with Slow Delivery (Score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26, 44, 19, 200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Mid-range Segment, Slow DTIMECAT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Logistics failure compounded by competitive pressure/poor communication.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Returned Order (High Sat.)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11 (Score 5), 41 (Score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Mid-range/Premium Segments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High certainty of quality control or inventory/picking error.</w:t>
            </w:r>
          </w:p>
        </w:tc>
      </w:tr>
    </w:tbl>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240" w:before="120" w:line="275" w:lineRule="auto"/>
        <w:jc w:val="both"/>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240" w:before="120" w:line="275" w:lineRule="auto"/>
        <w:jc w:val="both"/>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CHAPTER 7: </w:t>
      </w:r>
    </w:p>
    <w:p w:rsidR="00000000" w:rsidDel="00000000" w:rsidP="00000000" w:rsidRDefault="00000000" w:rsidRPr="00000000" w14:paraId="00000161">
      <w:pPr>
        <w:pStyle w:val="Heading2"/>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CUSTOMER SEGMENTATION STRATEGY</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Understanding the behavioral and financial characteristics of each segment is essential for designing high-impact, tailored engagement strategies.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0" distT="0" distL="0" distR="0">
            <wp:extent cx="6112014" cy="3478267"/>
            <wp:effectExtent b="0" l="0" r="0" t="0"/>
            <wp:docPr id="194944102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112014" cy="3478267"/>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7.1. Budget Segment: Loyalty and Volume Strategy</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Budget segment exhibits the highest loyalty, demonstrated by an average order frequency of 3.04 orders, and delivers the highest calculated ROI when using the flawed proxy CAC.</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While price-sensitive, these customers are highly reliable and consistently provide transaction volume.</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strategic approach for this segment must be centered on reinforcing existing loyalty through value-driven incentives. This includes implementing daily deals, targeted cashback mechanisms, and referral incentives that directly appeal to their cost sensitivity.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Since their revised CAC (₹200 assumed in Streamlit) is the lowest, this segment yields the strongest realistic CLV/CAC ratio (6.27:1), justifying a strategy focused on high-volume acquisition and retention, accepting potentially lower margins per transaction for substantial scale.</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6A">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7.2. Mid-range Segment: Satisfaction and Upsell Strategy</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Mid-range segment forms the core, reliable base of the platform, characterized by the highest average satisfaction score (3.10/5) and strong overall ROI.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segment presents the greatest opportunity for predictable revenue and incremental CLV growth.</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strategy here is retention and gentle upsell. Maintaining their high satisfaction level is paramount, achieved by emphasizing convenience and personalization.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Utilizing data analysis to predict reorder cycles and offering personalized bundles or premium features (such as earlier access to popular items) can subtly increase their AOV and frequency, pushing them towards Frequent Buyer status.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6E">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7.3. Premium Segment: Addressing Dissatisfaction and Service Mismatch</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Premium segment poses the most immediate strategic risk. Despite their high average order value potential, they report the lowest average satisfaction (2.82/5) and the lowest ROI (using the proxy metric).</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The numerous instances of low satisfaction (Score 1 or 2) among this high-value cohort signal a profound mismatch between the high expectations associated with premium pricing and the actual quality of service delivered.</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To capture the high CLV potential of these users, an immediate implementation of specialized service improvements is necessary. This requires creating a VIP experience that justifies their spend, including dedicated 24/7 support via app or WhatsApp, enhanced product selection, and guaranteed fulfillment quality checkpoints.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Failure to resolve the quality and service gap for Premium customers will result in continued high churn and unrealized revenue.</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Table 7.1: Segment Performance and Loyalty Metrics </w:t>
      </w:r>
      <w:r w:rsidDel="00000000" w:rsidR="00000000" w:rsidRPr="00000000">
        <w:rPr>
          <w:rFonts w:ascii="Arial" w:cs="Arial" w:eastAsia="Arial" w:hAnsi="Arial"/>
          <w:color w:val="444746"/>
          <w:sz w:val="24"/>
          <w:szCs w:val="24"/>
          <w:vertAlign w:val="superscript"/>
          <w:rtl w:val="0"/>
        </w:rPr>
        <w:t xml:space="preserve">1</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Customer 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Avg CLV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Avg CAC Proxy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Avg Order 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Avg Satisfaction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Strategic Focus</w:t>
            </w:r>
          </w:p>
        </w:tc>
      </w:tr>
      <w:tr>
        <w:trPr>
          <w:cantSplit w:val="0"/>
          <w:trHeight w:val="1246"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Budget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1,254.14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65.64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3.04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2.96 /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Loyalty Reinforcement &amp; Volume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Mid-range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1,217.19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64.14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2.97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3.10 /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Retention &amp; Upsell</w:t>
            </w:r>
          </w:p>
        </w:tc>
      </w:tr>
      <w:tr>
        <w:trPr>
          <w:cantSplit w:val="0"/>
          <w:trHeight w:val="1486"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Premium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1,157.03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64.10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3.09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2.82 /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Quality Assurance &amp; VIP Service</w:t>
            </w:r>
          </w:p>
        </w:tc>
      </w:tr>
    </w:tbl>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240" w:before="120" w:line="275" w:lineRule="auto"/>
        <w:jc w:val="both"/>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CHAPTER 8: </w:t>
      </w:r>
    </w:p>
    <w:p w:rsidR="00000000" w:rsidDel="00000000" w:rsidP="00000000" w:rsidRDefault="00000000" w:rsidRPr="00000000" w14:paraId="00000193">
      <w:pPr>
        <w:pStyle w:val="Heading2"/>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STRATEGIC PROPOSALS FOR GROWTH AND EFFICIENCY</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strategic direction is defined by the objective of reducing the actual blended CAC by 15–20% (targeting $250) and fixing key retention leaks.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97">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8.1. Optimized Customer Acquisition Strategy (Focus on Organic/Referral Channels)</w:t>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A fundamental shift in acquisition strategy is required to move capital away from expensive, competitive channels and toward sustainable, low-CAC growth engines.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Hyperlocal Referral Program is the cornerstone of this plan, offering the highest potential for CAC reduction. The proposed structure, offering ₹50-100 to the referrer and a discount to the new customer, leverages the strong loyalty of existing users, particularly in high-profit anchor cities like Warangal and Nashik.</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Referral programs are proven effective in hyperlocal Indian grocery models, relying on trust and word-of-mouth networks that are strong in Tier-2 communities.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Complementing this is a focus on Content-Led Organic Growth. Reallocating the budget to emphasize hyperlocal SEO (Proposed: 35%) ensures long-term compounding benefits for CAC.</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Tactics involve generating locally relevant content, promoting local event participation, and leveraging community stories to build brand recognition, which is essential for competing against the anonymous, capital-heavy operations of large competitors.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9D">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8.2. Tiered Retention and Loyalty Program Design</w:t>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Tiered Loyalty Program is designed to systematically increase customer frequency and Average Order Value (AOV), aiming for a 15–20% improvement.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The Bronze/Silver/Gold tiers utilize quantifiable criteria (order count or total spend) to gamify progression and reward habitual purchasing.</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Bronze Tier (2+ orders/month) is essential for bridging the 1st to 2nd order gap and establishing habit formation through modest incentives (5% cashback). The Silver Tier (4+ orders/month) successfully secures the critical "Frequent Buyer" cohort with significant rewards (10% cashback, free delivery). The Gold Tier (8+ orders/month) locks in the highest-value users with VIP status, maximizing long-term CLV.</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To directly address the 14.2% drop-off rate, the implementation of Email and SMS automation is a high-leverage initiative.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Automated communications, such as welcome sequences, post-purchase satisfaction checks, and abandoned cart reminders, are low-cost interventions designed to provide necessary touchpoints that encourage the crucial second order transaction.</w:t>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A3">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8.3. Operational Excellence: Delivery Cost and Time Optimization</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Operational strategy must pivot to solving fulfillment quality and efficiency issues, starting with Zone C. An immediate, intensive audit of Zone C logistics is required to pinpoint the systemic causes of slow delivery times and the corresponding low satisfaction scores identified in the PowerBI analysis.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Remedial action may include deploying additional micro-fulfillment hubs or improving dynamic routing algorithms.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Crucially, mandatory </w:t>
      </w:r>
      <w:r w:rsidDel="00000000" w:rsidR="00000000" w:rsidRPr="00000000">
        <w:rPr>
          <w:rFonts w:ascii="Arial" w:cs="Arial" w:eastAsia="Arial" w:hAnsi="Arial"/>
          <w:b w:val="1"/>
          <w:color w:val="1b1c1d"/>
          <w:rtl w:val="0"/>
        </w:rPr>
        <w:t xml:space="preserve">Quality Control Checkpoints</w:t>
      </w:r>
      <w:r w:rsidDel="00000000" w:rsidR="00000000" w:rsidRPr="00000000">
        <w:rPr>
          <w:rFonts w:ascii="Arial" w:cs="Arial" w:eastAsia="Arial" w:hAnsi="Arial"/>
          <w:color w:val="1b1c1d"/>
          <w:rtl w:val="0"/>
        </w:rPr>
        <w:t xml:space="preserve"> must be integrated into the fulfillment process. This operational adjustment directly mitigates the failure points discovered in Chapter 6—where returns and low satisfaction occurred despite fast delivery. Implementing accuracy and quality assurance checks during picking and packing ensures that the promise of speed is paired with the required reliability, particularly for the high-value Premium segment.</w:t>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A8">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8.4. Budget Reallocation Framework for CAC Reduction</w:t>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proposed budget reallocation demonstrates a strategic pivot in marketing expenditure.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Capital is significantly shifted away from potentially expensive and low-ROI Paid channels (Paid Search reduced from 25% to 10%; Paid Social reduced from 20% to 5%).</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freed capital is redirected toward high-ROI channels: Referral programs are increased from 15% to 25%, and Organic/SEO is prioritized, increasing from 20% to 35%.</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aggressive realignment validates the financial viability of sustaining a superior CLV/CAC ratio (4:1 to 5:1) even under the realistic, higher CAC assumptions, by ensuring that every dollar spent on acquisition is highly efficient.</w:t>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Table 8.1: Proposed Customer Acquisition Budget Reallocation</w:t>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line="275" w:lineRule="auto"/>
        <w:jc w:val="both"/>
        <w:rPr>
          <w:rFonts w:ascii="Arial" w:cs="Arial" w:eastAsia="Arial" w:hAnsi="Arial"/>
          <w:color w:val="1b1c1d"/>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Channel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Current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Proposed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CAC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Strategic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Organic/SEO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$\downarrow 15-20\%$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Long-term brand building in Tier-2, leverage hyperlocal market data.</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Referral Programs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$\downarrow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Highest ROI, low CAC growth by leveraging existing loyalty.</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Email/SMS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$\downarrow 10-15\%$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Direct attack on the critical 1st $\rightarrow$ 2nd order drop-off rate.</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Paid Search / Social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Optimize / Exit low-ROI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Shift capital from expensive, competitive channels to community focus.</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1C6">
      <w:pPr>
        <w:rPr/>
      </w:pPr>
      <w:r w:rsidDel="00000000" w:rsidR="00000000" w:rsidRPr="00000000">
        <w:br w:type="page"/>
      </w: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240" w:before="120" w:line="275" w:lineRule="auto"/>
        <w:jc w:val="both"/>
        <w:rPr>
          <w:rFonts w:ascii="Arial" w:cs="Arial" w:eastAsia="Arial" w:hAnsi="Arial"/>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CHAPTER 9: REVISED BUSINESS MODEL CANVAS AND SCALABILITY</w:t>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This section details the necessary restructuring of GrovQuick’s core components to support the new data-driven strategy, ensuring the long-term resilience and scalability of the business model.</w:t>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CC">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9.1. Refined Key Partnerships and Activities</w:t>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Key Partners must expand beyond basic logistics and local </w:t>
      </w:r>
      <w:r w:rsidDel="00000000" w:rsidR="00000000" w:rsidRPr="00000000">
        <w:rPr>
          <w:rFonts w:ascii="Arial" w:cs="Arial" w:eastAsia="Arial" w:hAnsi="Arial"/>
          <w:i w:val="1"/>
          <w:color w:val="1b1c1d"/>
          <w:rtl w:val="0"/>
        </w:rPr>
        <w:t xml:space="preserve">kirana</w:t>
      </w:r>
      <w:r w:rsidDel="00000000" w:rsidR="00000000" w:rsidRPr="00000000">
        <w:rPr>
          <w:rFonts w:ascii="Arial" w:cs="Arial" w:eastAsia="Arial" w:hAnsi="Arial"/>
          <w:color w:val="1b1c1d"/>
          <w:rtl w:val="0"/>
        </w:rPr>
        <w:t xml:space="preserve"> stores to explicitly include service-oriented relationships.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New partnerships should focus on </w:t>
      </w:r>
      <w:r w:rsidDel="00000000" w:rsidR="00000000" w:rsidRPr="00000000">
        <w:rPr>
          <w:rFonts w:ascii="Arial" w:cs="Arial" w:eastAsia="Arial" w:hAnsi="Arial"/>
          <w:b w:val="1"/>
          <w:color w:val="1b1c1d"/>
          <w:rtl w:val="0"/>
        </w:rPr>
        <w:t xml:space="preserve">Quality Control Auditing</w:t>
      </w:r>
      <w:r w:rsidDel="00000000" w:rsidR="00000000" w:rsidRPr="00000000">
        <w:rPr>
          <w:rFonts w:ascii="Arial" w:cs="Arial" w:eastAsia="Arial" w:hAnsi="Arial"/>
          <w:color w:val="1b1c1d"/>
          <w:rtl w:val="0"/>
        </w:rPr>
        <w:t xml:space="preserve"> services to monitor and maintain fulfillment accuracy, directly addressing the root causes of low satisfaction and returns identified in the analysis.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Key Activities must shift from basic operational tasks to strategic functions: intensive </w:t>
      </w:r>
      <w:r w:rsidDel="00000000" w:rsidR="00000000" w:rsidRPr="00000000">
        <w:rPr>
          <w:rFonts w:ascii="Arial" w:cs="Arial" w:eastAsia="Arial" w:hAnsi="Arial"/>
          <w:b w:val="1"/>
          <w:color w:val="1b1c1d"/>
          <w:rtl w:val="0"/>
        </w:rPr>
        <w:t xml:space="preserve">Data-Driven Marketing (Segmentation)</w:t>
      </w:r>
      <w:r w:rsidDel="00000000" w:rsidR="00000000" w:rsidRPr="00000000">
        <w:rPr>
          <w:rFonts w:ascii="Arial" w:cs="Arial" w:eastAsia="Arial" w:hAnsi="Arial"/>
          <w:color w:val="1b1c1d"/>
          <w:rtl w:val="0"/>
        </w:rPr>
        <w:t xml:space="preserve">, sophisticated </w:t>
      </w:r>
      <w:r w:rsidDel="00000000" w:rsidR="00000000" w:rsidRPr="00000000">
        <w:rPr>
          <w:rFonts w:ascii="Arial" w:cs="Arial" w:eastAsia="Arial" w:hAnsi="Arial"/>
          <w:b w:val="1"/>
          <w:color w:val="1b1c1d"/>
          <w:rtl w:val="0"/>
        </w:rPr>
        <w:t xml:space="preserve">Loyalty Program Management</w:t>
      </w:r>
      <w:r w:rsidDel="00000000" w:rsidR="00000000" w:rsidRPr="00000000">
        <w:rPr>
          <w:rFonts w:ascii="Arial" w:cs="Arial" w:eastAsia="Arial" w:hAnsi="Arial"/>
          <w:color w:val="1b1c1d"/>
          <w:rtl w:val="0"/>
        </w:rPr>
        <w:t xml:space="preserve">, and rigorous </w:t>
      </w:r>
      <w:r w:rsidDel="00000000" w:rsidR="00000000" w:rsidRPr="00000000">
        <w:rPr>
          <w:rFonts w:ascii="Arial" w:cs="Arial" w:eastAsia="Arial" w:hAnsi="Arial"/>
          <w:b w:val="1"/>
          <w:color w:val="1b1c1d"/>
          <w:rtl w:val="0"/>
        </w:rPr>
        <w:t xml:space="preserve">Fulfillment Quality Assurance</w:t>
      </w:r>
      <w:r w:rsidDel="00000000" w:rsidR="00000000" w:rsidRPr="00000000">
        <w:rPr>
          <w:rFonts w:ascii="Arial" w:cs="Arial" w:eastAsia="Arial" w:hAnsi="Arial"/>
          <w:color w:val="1b1c1d"/>
          <w:rtl w:val="0"/>
        </w:rPr>
        <w:t xml:space="preserv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D0">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9.2. Enhanced Value Proposition for Tier-2 Consumers</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GrovQuick’s Value Proposition must evolve beyond the basic promise of speed. While 30-minute delivery is expected, the revised proposition must emphasize the factors proven to drive long-term loyalty and CLV:</w:t>
      </w:r>
    </w:p>
    <w:p w:rsidR="00000000" w:rsidDel="00000000" w:rsidP="00000000" w:rsidRDefault="00000000" w:rsidRPr="00000000" w14:paraId="000001D3">
      <w:pPr>
        <w:numPr>
          <w:ilvl w:val="0"/>
          <w:numId w:val="9"/>
        </w:numPr>
        <w:pBdr>
          <w:top w:space="0" w:sz="0" w:val="nil"/>
          <w:left w:space="0" w:sz="0" w:val="nil"/>
          <w:bottom w:space="0" w:sz="0" w:val="nil"/>
          <w:right w:space="0" w:sz="0" w:val="nil"/>
          <w:between w:space="0" w:sz="0" w:val="nil"/>
        </w:pBdr>
        <w:spacing w:line="275" w:lineRule="auto"/>
        <w:ind w:left="480" w:hanging="360"/>
        <w:jc w:val="both"/>
        <w:rPr/>
      </w:pPr>
      <w:r w:rsidDel="00000000" w:rsidR="00000000" w:rsidRPr="00000000">
        <w:rPr>
          <w:rFonts w:ascii="Arial" w:cs="Arial" w:eastAsia="Arial" w:hAnsi="Arial"/>
          <w:b w:val="1"/>
          <w:color w:val="1b1c1d"/>
          <w:rtl w:val="0"/>
        </w:rPr>
        <w:t xml:space="preserve">Guaranteed Quality and Fulfilment Accuracy:</w:t>
      </w:r>
      <w:r w:rsidDel="00000000" w:rsidR="00000000" w:rsidRPr="00000000">
        <w:rPr>
          <w:rFonts w:ascii="Arial" w:cs="Arial" w:eastAsia="Arial" w:hAnsi="Arial"/>
          <w:color w:val="1b1c1d"/>
          <w:rtl w:val="0"/>
        </w:rPr>
        <w:t xml:space="preserve"> Directly addressing the service mismatch for Premium customers and mitigating risk across all segments.</w:t>
      </w:r>
      <w:r w:rsidDel="00000000" w:rsidR="00000000" w:rsidRPr="00000000">
        <w:rPr>
          <w:rtl w:val="0"/>
        </w:rPr>
      </w:r>
    </w:p>
    <w:p w:rsidR="00000000" w:rsidDel="00000000" w:rsidP="00000000" w:rsidRDefault="00000000" w:rsidRPr="00000000" w14:paraId="000001D4">
      <w:pPr>
        <w:numPr>
          <w:ilvl w:val="0"/>
          <w:numId w:val="9"/>
        </w:numPr>
        <w:pBdr>
          <w:top w:space="0" w:sz="0" w:val="nil"/>
          <w:left w:space="0" w:sz="0" w:val="nil"/>
          <w:bottom w:space="0" w:sz="0" w:val="nil"/>
          <w:right w:space="0" w:sz="0" w:val="nil"/>
          <w:between w:space="0" w:sz="0" w:val="nil"/>
        </w:pBdr>
        <w:spacing w:line="275" w:lineRule="auto"/>
        <w:ind w:left="480" w:hanging="360"/>
        <w:jc w:val="both"/>
        <w:rPr/>
      </w:pPr>
      <w:r w:rsidDel="00000000" w:rsidR="00000000" w:rsidRPr="00000000">
        <w:rPr>
          <w:rFonts w:ascii="Arial" w:cs="Arial" w:eastAsia="Arial" w:hAnsi="Arial"/>
          <w:b w:val="1"/>
          <w:color w:val="1b1c1d"/>
          <w:rtl w:val="0"/>
        </w:rPr>
        <w:t xml:space="preserve">Affordable Pricing &amp; Tiered Rewards:</w:t>
      </w:r>
      <w:r w:rsidDel="00000000" w:rsidR="00000000" w:rsidRPr="00000000">
        <w:rPr>
          <w:rFonts w:ascii="Arial" w:cs="Arial" w:eastAsia="Arial" w:hAnsi="Arial"/>
          <w:color w:val="1b1c1d"/>
          <w:rtl w:val="0"/>
        </w:rPr>
        <w:t xml:space="preserve"> Reinforcing the high loyalty of the Budget segment through predictable value and cashback systems.</w:t>
      </w:r>
      <w:r w:rsidDel="00000000" w:rsidR="00000000" w:rsidRPr="00000000">
        <w:rPr>
          <w:rtl w:val="0"/>
        </w:rPr>
      </w:r>
    </w:p>
    <w:p w:rsidR="00000000" w:rsidDel="00000000" w:rsidP="00000000" w:rsidRDefault="00000000" w:rsidRPr="00000000" w14:paraId="000001D5">
      <w:pPr>
        <w:numPr>
          <w:ilvl w:val="0"/>
          <w:numId w:val="9"/>
        </w:numPr>
        <w:pBdr>
          <w:top w:space="0" w:sz="0" w:val="nil"/>
          <w:left w:space="0" w:sz="0" w:val="nil"/>
          <w:bottom w:space="0" w:sz="0" w:val="nil"/>
          <w:right w:space="0" w:sz="0" w:val="nil"/>
          <w:between w:space="0" w:sz="0" w:val="nil"/>
        </w:pBdr>
        <w:spacing w:after="120" w:line="275" w:lineRule="auto"/>
        <w:ind w:left="480" w:hanging="360"/>
        <w:jc w:val="both"/>
        <w:rPr/>
      </w:pPr>
      <w:r w:rsidDel="00000000" w:rsidR="00000000" w:rsidRPr="00000000">
        <w:rPr>
          <w:rFonts w:ascii="Arial" w:cs="Arial" w:eastAsia="Arial" w:hAnsi="Arial"/>
          <w:b w:val="1"/>
          <w:color w:val="1b1c1d"/>
          <w:rtl w:val="0"/>
        </w:rPr>
        <w:t xml:space="preserve">Personalized Loyalty Experience:</w:t>
      </w:r>
      <w:r w:rsidDel="00000000" w:rsidR="00000000" w:rsidRPr="00000000">
        <w:rPr>
          <w:rFonts w:ascii="Arial" w:cs="Arial" w:eastAsia="Arial" w:hAnsi="Arial"/>
          <w:color w:val="1b1c1d"/>
          <w:rtl w:val="0"/>
        </w:rPr>
        <w:t xml:space="preserve"> Utilizing customer data to tailor offers and communications, driving engagement beyond the initial transaction.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240" w:before="240" w:line="275" w:lineRule="auto"/>
        <w:jc w:val="both"/>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D7">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9.3. Future Scaling Strategy to Adjacent Markets</w:t>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revised business model is designed to be highly scalable. The operational success criteria established by Zone A (high profit density, high satisfaction) must serve as the primary benchmark for entering any new Tier-2 market. Expansion should be phased, prioritizing adjacent cities that share similar socioeconomic and demographic profiles with Warangal and Nashik, and where initial unit economics validate a sustainable CLV/CAC ratio from the outset.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Commitment to sustained investment in a new zone should only follow the successful achievement of Zone A operational metrics during a pilot phase.</w:t>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Table 9.1: Revised Business Model Canvas Components</w:t>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line="275" w:lineRule="auto"/>
        <w:jc w:val="both"/>
        <w:rPr>
          <w:rFonts w:ascii="Arial" w:cs="Arial" w:eastAsia="Arial" w:hAnsi="Arial"/>
          <w:color w:val="1b1c1d"/>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GrovQuick's Refined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Impact on Sustainability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Key Resources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Digital platform, Analytics Engine, Local Kirana Network, Proprietary Customer Data.</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Ensures competitive moat built on local knowledge and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Value Proposition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Reliable, Affordable, Quality-Assured Quick Delivery (10-30 min), Personalized Loyalty Rewards.</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Addresses critical satisfaction gap in Premium Segment.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Customer Relationships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Tiered Loyalty Program, Dedicated VIP Support, Proactive WhatsApp Community Engagement.</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Drives high CLV through improved retention beyond 2nd order.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Cost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Focus shift: Heavy investment in Tech/Analytics/Loyalty; Optimized Variable Delivery Cost; Reduced Paid Acquisition Spend.</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Supports the 4.07:1 realistic CLV/CAC ratio.</w:t>
            </w:r>
          </w:p>
        </w:tc>
      </w:tr>
    </w:tbl>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240" w:before="120" w:line="275" w:lineRule="auto"/>
        <w:jc w:val="both"/>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CHAPTER 10: SIMULATED BUSINESS IMPACT AND FINANCIAL PROJECTIONS</w:t>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This chapter quantifies the projected financial returns over a 12-month period, grounded in the revised, realistic financial foundation (CAC approx ₹300). The goals are to conservatively increase CLV and achieve efficiency gains by lowering the true acquisition cost.</w:t>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F0">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10.1. Projected Improvements in Core KPIs</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base case projection targets a reduction in CAC to ₹250 through successful budget reallocation and an increase in CLV to ₹1,350 via loyalty program adoption and solving the first-order drop-off issue.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combined effect of higher CLV and lower CAC is projected to increase the realistic ROI per customer from ₹921 (current revised net profit) to ₹1,100, representing a 19.4% improvement in net profitability per customer.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Furthermore, fixing the 14.2% drop-off gap is projected to increase the Retention Rate (2+ Orders) from an implied 80% to 88%, significantly stabilizing the customer base.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synergistic improvement is projected to elevate the highly defensible CLV/CAC ratio from 4.07:1 to a growth-optimized 5.4:1.</w:t>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Table 10.1: Simulated Financial Impact (12-Month Projection)</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line="275" w:lineRule="auto"/>
        <w:jc w:val="both"/>
        <w:rPr>
          <w:rFonts w:ascii="Arial" w:cs="Arial" w:eastAsia="Arial" w:hAnsi="Arial"/>
          <w:color w:val="1b1c1d"/>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Current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Target (Base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Projected Change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Rationale /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Customer Acquisition Cost (CAC)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₹300 (Revised Estimate)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₹250 (Target 17%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Budget reallocation to referral/organic.</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Customer Lifetime Value (CLV)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₹1,350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Loyalty program adoption and 1st $\rightarrow$ 2nd order retention fix.</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Retention Rate (2+ Orders)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80% (Implied)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+8 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SMS/Email automation addressing 14.2% drop-off.</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ROI per Customer (CLV-CAC)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₹921 (Revised)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Synergistic gains from lower CAC and higher CLV.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CLV/CAC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4.07:1 (Revised)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5.4:1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+32.7%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Highly defensible and growth-optimized ratio.</w:t>
            </w:r>
          </w:p>
        </w:tc>
      </w:tr>
    </w:tbl>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215">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10.2. Scenario Modeling (Conservative, Base Case, Optimistic)</w:t>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Scenario planning provides context for the potential performance boundaries based on execution risk.</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These scenarios utilize the revised financial baseline (CAC $\approx$ ₹300).</w:t>
      </w:r>
    </w:p>
    <w:p w:rsidR="00000000" w:rsidDel="00000000" w:rsidP="00000000" w:rsidRDefault="00000000" w:rsidRPr="00000000" w14:paraId="00000218">
      <w:pPr>
        <w:numPr>
          <w:ilvl w:val="0"/>
          <w:numId w:val="10"/>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b w:val="1"/>
          <w:color w:val="1b1c1d"/>
          <w:rtl w:val="0"/>
        </w:rPr>
        <w:t xml:space="preserve">Conservative Scenario (60% success rate):</w:t>
      </w:r>
      <w:r w:rsidDel="00000000" w:rsidR="00000000" w:rsidRPr="00000000">
        <w:rPr>
          <w:rFonts w:ascii="Arial" w:cs="Arial" w:eastAsia="Arial" w:hAnsi="Arial"/>
          <w:color w:val="1b1c1d"/>
          <w:rtl w:val="0"/>
        </w:rPr>
        <w:t xml:space="preserve"> If the CAC reduction efforts are less effective (CAC ₹280) and CLV growth is minimal (CLV ₹1,280), the realistic ROI is ₹1,000. This outcome maintains profitability and buffers against unexpected competitive pressures.</w:t>
      </w:r>
      <w:r w:rsidDel="00000000" w:rsidR="00000000" w:rsidRPr="00000000">
        <w:rPr>
          <w:rtl w:val="0"/>
        </w:rPr>
      </w:r>
    </w:p>
    <w:p w:rsidR="00000000" w:rsidDel="00000000" w:rsidP="00000000" w:rsidRDefault="00000000" w:rsidRPr="00000000" w14:paraId="00000219">
      <w:pPr>
        <w:numPr>
          <w:ilvl w:val="0"/>
          <w:numId w:val="10"/>
        </w:numPr>
        <w:pBdr>
          <w:top w:space="0" w:sz="0" w:val="nil"/>
          <w:left w:space="0" w:sz="0" w:val="nil"/>
          <w:bottom w:space="0" w:sz="0" w:val="nil"/>
          <w:right w:space="0" w:sz="0" w:val="nil"/>
          <w:between w:space="0" w:sz="0" w:val="nil"/>
        </w:pBdr>
        <w:spacing w:line="275" w:lineRule="auto"/>
        <w:ind w:left="465" w:hanging="360"/>
        <w:jc w:val="both"/>
        <w:rPr/>
      </w:pPr>
      <w:r w:rsidDel="00000000" w:rsidR="00000000" w:rsidRPr="00000000">
        <w:rPr>
          <w:rFonts w:ascii="Arial" w:cs="Arial" w:eastAsia="Arial" w:hAnsi="Arial"/>
          <w:b w:val="1"/>
          <w:color w:val="1b1c1d"/>
          <w:rtl w:val="0"/>
        </w:rPr>
        <w:t xml:space="preserve">Base Case (80% success rate):</w:t>
      </w:r>
      <w:r w:rsidDel="00000000" w:rsidR="00000000" w:rsidRPr="00000000">
        <w:rPr>
          <w:rFonts w:ascii="Arial" w:cs="Arial" w:eastAsia="Arial" w:hAnsi="Arial"/>
          <w:color w:val="1b1c1d"/>
          <w:rtl w:val="0"/>
        </w:rPr>
        <w:t xml:space="preserve"> Driven by successful referral program adoption and the retention fix, this scenario achieves a </w:t>
      </w:r>
      <w:r w:rsidDel="00000000" w:rsidR="00000000" w:rsidRPr="00000000">
        <w:rPr>
          <w:rFonts w:ascii="Arial" w:cs="Arial" w:eastAsia="Arial" w:hAnsi="Arial"/>
          <w:b w:val="1"/>
          <w:color w:val="1b1c1d"/>
          <w:rtl w:val="0"/>
        </w:rPr>
        <w:t xml:space="preserve">Realistic ROI of ₹1,100</w:t>
      </w:r>
      <w:r w:rsidDel="00000000" w:rsidR="00000000" w:rsidRPr="00000000">
        <w:rPr>
          <w:rFonts w:ascii="Arial" w:cs="Arial" w:eastAsia="Arial" w:hAnsi="Arial"/>
          <w:color w:val="1b1c1d"/>
          <w:rtl w:val="0"/>
        </w:rPr>
        <w:t xml:space="preserve">, representing the targeted 19.4% increase in net profit per customer.</w:t>
      </w:r>
      <w:r w:rsidDel="00000000" w:rsidR="00000000" w:rsidRPr="00000000">
        <w:rPr>
          <w:rtl w:val="0"/>
        </w:rPr>
      </w:r>
    </w:p>
    <w:p w:rsidR="00000000" w:rsidDel="00000000" w:rsidP="00000000" w:rsidRDefault="00000000" w:rsidRPr="00000000" w14:paraId="0000021A">
      <w:pPr>
        <w:numPr>
          <w:ilvl w:val="0"/>
          <w:numId w:val="10"/>
        </w:numPr>
        <w:pBdr>
          <w:top w:space="0" w:sz="0" w:val="nil"/>
          <w:left w:space="0" w:sz="0" w:val="nil"/>
          <w:bottom w:space="0" w:sz="0" w:val="nil"/>
          <w:right w:space="0" w:sz="0" w:val="nil"/>
          <w:between w:space="0" w:sz="0" w:val="nil"/>
        </w:pBdr>
        <w:spacing w:after="120" w:line="275" w:lineRule="auto"/>
        <w:ind w:left="465" w:hanging="360"/>
        <w:jc w:val="both"/>
        <w:rPr/>
      </w:pPr>
      <w:r w:rsidDel="00000000" w:rsidR="00000000" w:rsidRPr="00000000">
        <w:rPr>
          <w:rFonts w:ascii="Arial" w:cs="Arial" w:eastAsia="Arial" w:hAnsi="Arial"/>
          <w:b w:val="1"/>
          <w:color w:val="1b1c1d"/>
          <w:rtl w:val="0"/>
        </w:rPr>
        <w:t xml:space="preserve">Optimistic Scenario (95% success rate):</w:t>
      </w:r>
      <w:r w:rsidDel="00000000" w:rsidR="00000000" w:rsidRPr="00000000">
        <w:rPr>
          <w:rFonts w:ascii="Arial" w:cs="Arial" w:eastAsia="Arial" w:hAnsi="Arial"/>
          <w:color w:val="1b1c1d"/>
          <w:rtl w:val="0"/>
        </w:rPr>
        <w:t xml:space="preserve"> Achieving high efficiency (CAC ₹230) and strong CLV (₹1,400) yields a Realistic ROI of ₹1,170. This level of financial health justifies an aggressive expansion strategy into adjacent Tier-2 markets, leveraging the competitive advantage built on optimized unit economics.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240" w:before="240" w:line="275" w:lineRule="auto"/>
        <w:jc w:val="both"/>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21C">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10.3. Risk Mitigation and Sensitivity Analysis</w:t>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most significant external risk is the aggressive entry of larger quick-commerce competitors into GrovQuick’s Tier-2 markets, potentially using subsidized pricing to destabilize the market.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GrovQuick mitigates this risk by building loyalty through low-CAC, community-focused channels (referral and organic), creating a foundation of customer commitment that is less susceptible to pure price wars.</w:t>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greatest internal risk remains the failure to address the systemic Fulfillment Quality issues identified in Chapter 6. Without resolving the underlying causes of returns and low satisfaction (which persist regardless of speed), CLV growth will be capped, rendering efficiency gains moot. Mitigation requires dedicated capital expenditure toward fulfillment technology, inventory management systems, and specialized staff training focused on quality assurance checks.</w:t>
      </w:r>
    </w:p>
    <w:p w:rsidR="00000000" w:rsidDel="00000000" w:rsidP="00000000" w:rsidRDefault="00000000" w:rsidRPr="00000000" w14:paraId="00000220">
      <w:pPr>
        <w:rPr/>
      </w:pPr>
      <w:r w:rsidDel="00000000" w:rsidR="00000000" w:rsidRPr="00000000">
        <w:br w:type="page"/>
      </w: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240" w:before="120" w:line="275" w:lineRule="auto"/>
        <w:jc w:val="both"/>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CHAPTER 11: CONCLUSION AND IMPLEMENTATION ROADMAP</w:t>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225">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11.1. Summary of Actionable Recommendations</w:t>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analysis confirms that GrovQuick possesses robust inherent unit economics, evidenced by a realistic CLV/CAC ratio of 4.07:1. The key to scalability lies not in optimizing delivery speed, but in resolving internal quality and acquisition cost inefficiencies.</w:t>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primary directive is to immediately shift the strategic focus from measuring simple logistics speed to enforcing </w:t>
      </w:r>
      <w:r w:rsidDel="00000000" w:rsidR="00000000" w:rsidRPr="00000000">
        <w:rPr>
          <w:rFonts w:ascii="Arial" w:cs="Arial" w:eastAsia="Arial" w:hAnsi="Arial"/>
          <w:b w:val="1"/>
          <w:color w:val="1b1c1d"/>
          <w:rtl w:val="0"/>
        </w:rPr>
        <w:t xml:space="preserve">Fulfillment Quality and Accuracy</w:t>
      </w:r>
      <w:r w:rsidDel="00000000" w:rsidR="00000000" w:rsidRPr="00000000">
        <w:rPr>
          <w:rFonts w:ascii="Arial" w:cs="Arial" w:eastAsia="Arial" w:hAnsi="Arial"/>
          <w:color w:val="1b1c1d"/>
          <w:rtl w:val="0"/>
        </w:rPr>
        <w:t xml:space="preserve"> across all zones and segments, particularly to restore confidence in the high-value Premium cohort. This must be complemented by the adoption of the revised internal CAC (₹300) for all financial projections, targeting a long-term, growth-optimized CLV/CAC ratio of 5:1. Finally, solving the critical 14.2% first-order drop-off gap using low-cost automation (SMS/Email) and high-ROI referral programs is the single highest priority for ensuring habitual, high-CLV customer retention.</w:t>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22A">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11.2. Phased Execution Timeline</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implementation roadmap is structured in three phases over 12 months, ensuring that high-leverage fixes are deployed immediately to stabilize the retention rate and lower the effective acquisition cost.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Table 11.1: Implementation Roadmap Summary</w:t>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line="275" w:lineRule="auto"/>
        <w:jc w:val="both"/>
        <w:rPr>
          <w:rFonts w:ascii="Arial" w:cs="Arial" w:eastAsia="Arial" w:hAnsi="Arial"/>
          <w:color w:val="1b1c1d"/>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Timeline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Initiative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Focus &amp; Expected 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Foundation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Months 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Launch Referral Program (Warangal/Nashik); Implement Email/SMS Automation; Zone C Operational Audit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Immediate CAC reduction; 1st $\rightarrow$ 2nd order retention improvement; Diagnosis of lowest-performing zone.</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Scale &amp; Quality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Months 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Launch Tiered Loyalty Program; Implement Fulfillment Quality Checkpoints; Scale Organic SEO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3A">
            <w:pPr>
              <w:pBdr>
                <w:top w:space="0" w:sz="0" w:val="nil"/>
                <w:left w:space="0" w:sz="0" w:val="nil"/>
                <w:bottom w:space="0" w:sz="0" w:val="nil"/>
                <w:right w:space="0" w:sz="0" w:val="nil"/>
                <w:between w:space="0" w:sz="0" w:val="nil"/>
              </w:pBdr>
              <w:spacing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Increase frequency/AOV (CLV growth); Address root cause of returns/low satisfaction.</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b w:val="1"/>
                <w:color w:val="1b1c1d"/>
              </w:rPr>
            </w:pPr>
            <w:r w:rsidDel="00000000" w:rsidR="00000000" w:rsidRPr="00000000">
              <w:rPr>
                <w:rFonts w:ascii="Arial" w:cs="Arial" w:eastAsia="Arial" w:hAnsi="Arial"/>
                <w:b w:val="1"/>
                <w:color w:val="1b1c1d"/>
                <w:rtl w:val="0"/>
              </w:rPr>
              <w:t xml:space="preserve">Optimize &amp; Expand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Months 7-12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120" w:before="12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Scale Referral to all cities; Launch Premium VIP Service; Expand to one adjacent Tier-2 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23E">
            <w:pPr>
              <w:pBdr>
                <w:top w:space="0" w:sz="0" w:val="nil"/>
                <w:left w:space="0" w:sz="0" w:val="nil"/>
                <w:bottom w:space="0" w:sz="0" w:val="nil"/>
                <w:right w:space="0" w:sz="0" w:val="nil"/>
                <w:between w:space="0" w:sz="0" w:val="nil"/>
              </w:pBdr>
              <w:spacing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Achieve target CLV/CAC ratio; Validate scalability of the optimized model.</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240" w:before="120" w:line="275" w:lineRule="auto"/>
        <w:jc w:val="both"/>
        <w:rPr/>
      </w:pPr>
      <w:r w:rsidDel="00000000" w:rsidR="00000000" w:rsidRPr="00000000">
        <w:rPr>
          <w:rtl w:val="0"/>
        </w:rPr>
      </w:r>
    </w:p>
    <w:p w:rsidR="00000000" w:rsidDel="00000000" w:rsidP="00000000" w:rsidRDefault="00000000" w:rsidRPr="00000000" w14:paraId="00000240">
      <w:pPr>
        <w:rPr/>
      </w:pPr>
      <w:r w:rsidDel="00000000" w:rsidR="00000000" w:rsidRPr="00000000">
        <w:br w:type="page"/>
      </w: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240" w:before="120" w:line="275" w:lineRule="auto"/>
        <w:jc w:val="both"/>
        <w:rPr>
          <w:rFonts w:ascii="Arial" w:cs="Arial" w:eastAsia="Arial" w:hAnsi="Arial"/>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CHAPTER 12: APPENDIX</w:t>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245">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12.1. PPTX Presentation Summary and Key Visuals</w:t>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structure of the "SkiDev Case Combat" PowerPoint presentation confirms the systematic analytical flow adopted in this report.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Key slides cover the Problem Overview, Data Summary, Funnel Analysis, ROI by Channel, detailed Proposed Strategies, and the Simulated Business Impact.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The presentation is designed to serve as the high-level summary for management, providing actionable insights derived from the detailed technical analysis contained in this report.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8"/>
          <w:szCs w:val="28"/>
          <w:vertAlign w:val="superscript"/>
        </w:rPr>
      </w:pPr>
      <w:hyperlink r:id="rId13">
        <w:r w:rsidDel="00000000" w:rsidR="00000000" w:rsidRPr="00000000">
          <w:rPr>
            <w:rFonts w:ascii="Arial" w:cs="Arial" w:eastAsia="Arial" w:hAnsi="Arial"/>
            <w:color w:val="0000ff"/>
            <w:sz w:val="28"/>
            <w:szCs w:val="28"/>
            <w:u w:val="single"/>
            <w:vertAlign w:val="superscript"/>
            <w:rtl w:val="0"/>
          </w:rPr>
          <w:t xml:space="preserve">https://docs.google.com/presentation/d/1s0ebsCwWrt5rT9Pa3755WGLPfpVva1OZ/edit?usp=sharing&amp;ouid=108051332792390706341&amp;rtpof=true&amp;sd=true</w:t>
        </w:r>
      </w:hyperlink>
      <w:r w:rsidDel="00000000" w:rsidR="00000000" w:rsidRPr="00000000">
        <w:rPr>
          <w:rtl w:val="0"/>
        </w:rPr>
      </w:r>
    </w:p>
    <w:p w:rsidR="00000000" w:rsidDel="00000000" w:rsidP="00000000" w:rsidRDefault="00000000" w:rsidRPr="00000000" w14:paraId="00000249">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12.2. Full Python Streamlit Code (app.py)</w:t>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Streamlit Python code is essential documentation of the technical foundation of the financial analysis.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It explicitly defines the calculation methodologies, which allowed for the critical re-evaluation of the financial model in Chapter 5. Specifically, the code demonstrates the segmented CAC assignment:</w:t>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240" w:line="275" w:lineRule="auto"/>
        <w:ind w:left="240" w:right="120" w:firstLine="0"/>
        <w:jc w:val="both"/>
        <w:rPr>
          <w:rFonts w:ascii="Arial" w:cs="Arial" w:eastAsia="Arial" w:hAnsi="Arial"/>
          <w:color w:val="1b1c1d"/>
        </w:rPr>
      </w:pPr>
      <w:r w:rsidDel="00000000" w:rsidR="00000000" w:rsidRPr="00000000">
        <w:rPr>
          <w:color w:val="1b1c1d"/>
          <w:rtl w:val="0"/>
        </w:rPr>
        <w:t xml:space="preserve">STREAMLIT APPLICATION LINK : </w:t>
        <w:br w:type="textWrapping"/>
      </w:r>
      <w:hyperlink r:id="rId14">
        <w:r w:rsidDel="00000000" w:rsidR="00000000" w:rsidRPr="00000000">
          <w:rPr>
            <w:color w:val="1155cc"/>
            <w:u w:val="single"/>
            <w:rtl w:val="0"/>
          </w:rPr>
          <w:t xml:space="preserve">https://akhileshbenni-skidev-data-analysis.streamlit.app/</w:t>
        </w:r>
      </w:hyperlink>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150" w:before="120" w:line="275" w:lineRule="auto"/>
        <w:ind w:left="240" w:right="120" w:firstLine="0"/>
        <w:jc w:val="both"/>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Python</w:t>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line="275" w:lineRule="auto"/>
        <w:jc w:val="both"/>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line="275" w:lineRule="auto"/>
        <w:jc w:val="both"/>
        <w:rPr>
          <w:rFonts w:ascii="Arial" w:cs="Arial" w:eastAsia="Arial" w:hAnsi="Arial"/>
          <w:color w:val="1b1c1d"/>
          <w:shd w:fill="f0f4f9" w:val="clear"/>
        </w:rPr>
      </w:pPr>
      <w:hyperlink r:id="rId15">
        <w:r w:rsidDel="00000000" w:rsidR="00000000" w:rsidRPr="00000000">
          <w:rPr>
            <w:rFonts w:ascii="Arial" w:cs="Arial" w:eastAsia="Arial" w:hAnsi="Arial"/>
            <w:color w:val="0000ff"/>
            <w:u w:val="single"/>
            <w:shd w:fill="f0f4f9" w:val="clear"/>
            <w:rtl w:val="0"/>
          </w:rPr>
          <w:t xml:space="preserve">https://drive.google.com/file/d/1mXTVqX8JFqoo8aZWZX7J1A4f6mSYeahw/view?usp=drive_link</w:t>
        </w:r>
      </w:hyperlink>
      <w:r w:rsidDel="00000000" w:rsidR="00000000" w:rsidRPr="00000000">
        <w:rPr>
          <w:rFonts w:ascii="Arial" w:cs="Arial" w:eastAsia="Arial" w:hAnsi="Arial"/>
          <w:color w:val="1b1c1d"/>
          <w:shd w:fill="f0f4f9" w:val="clear"/>
          <w:rtl w:val="0"/>
        </w:rPr>
        <w:br w:type="textWrapping"/>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This explicit CAC mapping (average approx ₹300) is the basis for the report’s revised financial calculations and definitively supersedes the unreliable delivery cost proxy used in the initial executive summary.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252">
      <w:pPr>
        <w:pStyle w:val="Heading3"/>
        <w:spacing w:after="120" w:before="0"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12.3. PowerBI Dashboard Image</w:t>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240" w:line="275" w:lineRule="auto"/>
        <w:jc w:val="both"/>
        <w:rPr>
          <w:rFonts w:ascii="Arial" w:cs="Arial" w:eastAsia="Arial" w:hAnsi="Arial"/>
          <w:color w:val="1b1c1d"/>
        </w:rPr>
      </w:pPr>
      <w:r w:rsidDel="00000000" w:rsidR="00000000" w:rsidRPr="00000000">
        <w:rPr>
          <w:rFonts w:ascii="Arial" w:cs="Arial" w:eastAsia="Arial" w:hAnsi="Arial"/>
          <w:color w:val="1b1c1d"/>
        </w:rPr>
        <w:drawing>
          <wp:inline distB="0" distT="0" distL="0" distR="0">
            <wp:extent cx="5943600" cy="3357245"/>
            <wp:effectExtent b="0" l="0" r="0" t="0"/>
            <wp:docPr id="194944102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357245"/>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255"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Click below to see the powerbi dashboard on browser</w:t>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255"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(Note : you should have a Microsoft account to view the document)</w:t>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255" w:line="275" w:lineRule="auto"/>
        <w:jc w:val="both"/>
        <w:rPr>
          <w:rFonts w:ascii="Arial" w:cs="Arial" w:eastAsia="Arial" w:hAnsi="Arial"/>
          <w:color w:val="1b1c1d"/>
        </w:rPr>
      </w:pPr>
      <w:hyperlink r:id="rId17">
        <w:r w:rsidDel="00000000" w:rsidR="00000000" w:rsidRPr="00000000">
          <w:rPr>
            <w:rFonts w:ascii="Arial" w:cs="Arial" w:eastAsia="Arial" w:hAnsi="Arial"/>
            <w:color w:val="0000ff"/>
            <w:u w:val="single"/>
            <w:rtl w:val="0"/>
          </w:rPr>
          <w:t xml:space="preserve">jjjg - Power BI</w:t>
        </w:r>
      </w:hyperlink>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255" w:line="275"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visual data provided by the PowerBI dashboard validates the aggregate metrics used for geographic and segmented performance assessment [Image 1]. It confirms the high transaction frequency driven by the Mid-range and Budget segments and visually reinforces the high profit concentration in Zone A compared to the lagging performance of Zone C [Image 1]. These aggregates are foundational to the strategic decision-making regarding budget reallocation and operational intervention priorities.</w:t>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255"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255"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255"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255" w:line="275" w:lineRule="auto"/>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25C">
      <w:pPr>
        <w:pStyle w:val="Heading4"/>
        <w:spacing w:before="0" w:lineRule="auto"/>
        <w:jc w:val="both"/>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25D">
      <w:pPr>
        <w:numPr>
          <w:ilvl w:val="0"/>
          <w:numId w:val="11"/>
        </w:numPr>
        <w:pBdr>
          <w:top w:space="0" w:sz="0" w:val="nil"/>
          <w:left w:space="0" w:sz="0" w:val="nil"/>
          <w:bottom w:space="0" w:sz="0" w:val="nil"/>
          <w:right w:space="0" w:sz="0" w:val="nil"/>
          <w:between w:space="0" w:sz="0" w:val="nil"/>
        </w:pBdr>
        <w:ind w:left="600" w:hanging="360"/>
        <w:jc w:val="both"/>
        <w:rPr/>
      </w:pPr>
      <w:r w:rsidDel="00000000" w:rsidR="00000000" w:rsidRPr="00000000">
        <w:rPr>
          <w:rFonts w:ascii="Arial" w:cs="Arial" w:eastAsia="Arial" w:hAnsi="Arial"/>
          <w:sz w:val="24"/>
          <w:szCs w:val="24"/>
          <w:rtl w:val="0"/>
        </w:rPr>
        <w:t xml:space="preserve">hyperlocal_grocery_case-hyperlocal_grocery_case.csv </w:t>
      </w: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ind w:left="600" w:firstLine="0"/>
        <w:jc w:val="both"/>
        <w:rPr/>
      </w:pPr>
      <w:hyperlink r:id="rId18">
        <w:r w:rsidDel="00000000" w:rsidR="00000000" w:rsidRPr="00000000">
          <w:rPr>
            <w:color w:val="0000ff"/>
            <w:u w:val="single"/>
            <w:rtl w:val="0"/>
          </w:rPr>
          <w:t xml:space="preserve">https://drive.google.com/file/d/1kgB01GD-_WYBRpnV-GrV45KQIBcHMlLQ/view?usp=drive_link</w:t>
        </w:r>
      </w:hyperlink>
      <w:r w:rsidDel="00000000" w:rsidR="00000000" w:rsidRPr="00000000">
        <w:rPr>
          <w:rtl w:val="0"/>
        </w:rPr>
      </w:r>
    </w:p>
    <w:p w:rsidR="00000000" w:rsidDel="00000000" w:rsidP="00000000" w:rsidRDefault="00000000" w:rsidRPr="00000000" w14:paraId="0000025F">
      <w:pPr>
        <w:numPr>
          <w:ilvl w:val="0"/>
          <w:numId w:val="11"/>
        </w:numPr>
        <w:pBdr>
          <w:top w:space="0" w:sz="0" w:val="nil"/>
          <w:left w:space="0" w:sz="0" w:val="nil"/>
          <w:bottom w:space="0" w:sz="0" w:val="nil"/>
          <w:right w:space="0" w:sz="0" w:val="nil"/>
          <w:between w:space="0" w:sz="0" w:val="nil"/>
        </w:pBdr>
        <w:ind w:left="600" w:hanging="360"/>
        <w:jc w:val="both"/>
        <w:rPr/>
      </w:pPr>
      <w:hyperlink r:id="rId19">
        <w:r w:rsidDel="00000000" w:rsidR="00000000" w:rsidRPr="00000000">
          <w:rPr>
            <w:rFonts w:ascii="Arial" w:cs="Arial" w:eastAsia="Arial" w:hAnsi="Arial"/>
            <w:color w:val="0000ee"/>
            <w:sz w:val="24"/>
            <w:szCs w:val="24"/>
            <w:u w:val="single"/>
            <w:rtl w:val="0"/>
          </w:rPr>
          <w:t xml:space="preserve">https://growth-onomics.com/how-to-calculate-clv-and-cac-ratios/</w:t>
        </w:r>
      </w:hyperlink>
      <w:r w:rsidDel="00000000" w:rsidR="00000000" w:rsidRPr="00000000">
        <w:rPr>
          <w:rtl w:val="0"/>
        </w:rPr>
      </w:r>
    </w:p>
    <w:p w:rsidR="00000000" w:rsidDel="00000000" w:rsidP="00000000" w:rsidRDefault="00000000" w:rsidRPr="00000000" w14:paraId="00000260">
      <w:pPr>
        <w:numPr>
          <w:ilvl w:val="0"/>
          <w:numId w:val="11"/>
        </w:numPr>
        <w:pBdr>
          <w:top w:space="0" w:sz="0" w:val="nil"/>
          <w:left w:space="0" w:sz="0" w:val="nil"/>
          <w:bottom w:space="0" w:sz="0" w:val="nil"/>
          <w:right w:space="0" w:sz="0" w:val="nil"/>
          <w:between w:space="0" w:sz="0" w:val="nil"/>
        </w:pBdr>
        <w:ind w:left="600" w:hanging="360"/>
        <w:jc w:val="both"/>
        <w:rPr/>
      </w:pPr>
      <w:hyperlink r:id="rId20">
        <w:r w:rsidDel="00000000" w:rsidR="00000000" w:rsidRPr="00000000">
          <w:rPr>
            <w:rFonts w:ascii="Arial" w:cs="Arial" w:eastAsia="Arial" w:hAnsi="Arial"/>
            <w:color w:val="0000ee"/>
            <w:sz w:val="24"/>
            <w:szCs w:val="24"/>
            <w:u w:val="single"/>
            <w:rtl w:val="0"/>
          </w:rPr>
          <w:t xml:space="preserve">https://www.prefinery.com/blog/clv-to-cac-ratio-guide-and-benchmarks-2024/</w:t>
        </w:r>
      </w:hyperlink>
      <w:r w:rsidDel="00000000" w:rsidR="00000000" w:rsidRPr="00000000">
        <w:rPr>
          <w:rtl w:val="0"/>
        </w:rPr>
      </w:r>
    </w:p>
    <w:p w:rsidR="00000000" w:rsidDel="00000000" w:rsidP="00000000" w:rsidRDefault="00000000" w:rsidRPr="00000000" w14:paraId="00000261">
      <w:pPr>
        <w:numPr>
          <w:ilvl w:val="0"/>
          <w:numId w:val="11"/>
        </w:numPr>
        <w:pBdr>
          <w:top w:space="0" w:sz="0" w:val="nil"/>
          <w:left w:space="0" w:sz="0" w:val="nil"/>
          <w:bottom w:space="0" w:sz="0" w:val="nil"/>
          <w:right w:space="0" w:sz="0" w:val="nil"/>
          <w:between w:space="0" w:sz="0" w:val="nil"/>
        </w:pBdr>
        <w:ind w:left="600" w:hanging="360"/>
        <w:jc w:val="both"/>
        <w:rPr/>
      </w:pPr>
      <w:hyperlink r:id="rId21">
        <w:r w:rsidDel="00000000" w:rsidR="00000000" w:rsidRPr="00000000">
          <w:rPr>
            <w:rFonts w:ascii="Arial" w:cs="Arial" w:eastAsia="Arial" w:hAnsi="Arial"/>
            <w:color w:val="0000ee"/>
            <w:sz w:val="24"/>
            <w:szCs w:val="24"/>
            <w:u w:val="single"/>
            <w:rtl w:val="0"/>
          </w:rPr>
          <w:t xml:space="preserve">https://www.makreo.com/blog/india-s-hyperlocal-delivery-revolution-how-10-minute-commerce-is-reshaping-retail-and-driving-50-market-growth</w:t>
        </w:r>
      </w:hyperlink>
      <w:r w:rsidDel="00000000" w:rsidR="00000000" w:rsidRPr="00000000">
        <w:rPr>
          <w:rtl w:val="0"/>
        </w:rPr>
      </w:r>
    </w:p>
    <w:p w:rsidR="00000000" w:rsidDel="00000000" w:rsidP="00000000" w:rsidRDefault="00000000" w:rsidRPr="00000000" w14:paraId="00000262">
      <w:pPr>
        <w:numPr>
          <w:ilvl w:val="0"/>
          <w:numId w:val="11"/>
        </w:numPr>
        <w:pBdr>
          <w:top w:space="0" w:sz="0" w:val="nil"/>
          <w:left w:space="0" w:sz="0" w:val="nil"/>
          <w:bottom w:space="0" w:sz="0" w:val="nil"/>
          <w:right w:space="0" w:sz="0" w:val="nil"/>
          <w:between w:space="0" w:sz="0" w:val="nil"/>
        </w:pBdr>
        <w:ind w:left="600" w:hanging="360"/>
        <w:jc w:val="both"/>
        <w:rPr/>
      </w:pPr>
      <w:hyperlink r:id="rId22">
        <w:r w:rsidDel="00000000" w:rsidR="00000000" w:rsidRPr="00000000">
          <w:rPr>
            <w:rFonts w:ascii="Arial" w:cs="Arial" w:eastAsia="Arial" w:hAnsi="Arial"/>
            <w:color w:val="0000ee"/>
            <w:sz w:val="24"/>
            <w:szCs w:val="24"/>
            <w:u w:val="single"/>
            <w:rtl w:val="0"/>
          </w:rPr>
          <w:t xml:space="preserve">https://www.retailscrape.com/hyperlocal-price-tracking-trends-in-indians-tier-2-cities.php</w:t>
        </w:r>
      </w:hyperlink>
      <w:r w:rsidDel="00000000" w:rsidR="00000000" w:rsidRPr="00000000">
        <w:rPr>
          <w:rtl w:val="0"/>
        </w:rPr>
      </w:r>
    </w:p>
    <w:p w:rsidR="00000000" w:rsidDel="00000000" w:rsidP="00000000" w:rsidRDefault="00000000" w:rsidRPr="00000000" w14:paraId="00000263">
      <w:pPr>
        <w:numPr>
          <w:ilvl w:val="0"/>
          <w:numId w:val="11"/>
        </w:numPr>
        <w:pBdr>
          <w:top w:space="0" w:sz="0" w:val="nil"/>
          <w:left w:space="0" w:sz="0" w:val="nil"/>
          <w:bottom w:space="0" w:sz="0" w:val="nil"/>
          <w:right w:space="0" w:sz="0" w:val="nil"/>
          <w:between w:space="0" w:sz="0" w:val="nil"/>
        </w:pBdr>
        <w:ind w:left="600" w:hanging="360"/>
        <w:jc w:val="both"/>
        <w:rPr/>
      </w:pPr>
      <w:hyperlink r:id="rId23">
        <w:r w:rsidDel="00000000" w:rsidR="00000000" w:rsidRPr="00000000">
          <w:rPr>
            <w:rFonts w:ascii="Arial" w:cs="Arial" w:eastAsia="Arial" w:hAnsi="Arial"/>
            <w:color w:val="0000ee"/>
            <w:sz w:val="24"/>
            <w:szCs w:val="24"/>
            <w:u w:val="single"/>
            <w:rtl w:val="0"/>
          </w:rPr>
          <w:t xml:space="preserve">https://venngage.com/blog/consulting-report-template/</w:t>
        </w:r>
      </w:hyperlink>
      <w:r w:rsidDel="00000000" w:rsidR="00000000" w:rsidRPr="00000000">
        <w:rPr>
          <w:rtl w:val="0"/>
        </w:rPr>
      </w:r>
    </w:p>
    <w:p w:rsidR="00000000" w:rsidDel="00000000" w:rsidP="00000000" w:rsidRDefault="00000000" w:rsidRPr="00000000" w14:paraId="00000264">
      <w:pPr>
        <w:numPr>
          <w:ilvl w:val="0"/>
          <w:numId w:val="11"/>
        </w:numPr>
        <w:pBdr>
          <w:top w:space="0" w:sz="0" w:val="nil"/>
          <w:left w:space="0" w:sz="0" w:val="nil"/>
          <w:bottom w:space="0" w:sz="0" w:val="nil"/>
          <w:right w:space="0" w:sz="0" w:val="nil"/>
          <w:between w:space="0" w:sz="0" w:val="nil"/>
        </w:pBdr>
        <w:ind w:left="600" w:hanging="360"/>
        <w:jc w:val="both"/>
        <w:rPr/>
      </w:pPr>
      <w:hyperlink r:id="rId24">
        <w:r w:rsidDel="00000000" w:rsidR="00000000" w:rsidRPr="00000000">
          <w:rPr>
            <w:rFonts w:ascii="Arial" w:cs="Arial" w:eastAsia="Arial" w:hAnsi="Arial"/>
            <w:color w:val="0000ee"/>
            <w:sz w:val="24"/>
            <w:szCs w:val="24"/>
            <w:u w:val="single"/>
            <w:rtl w:val="0"/>
          </w:rPr>
          <w:t xml:space="preserve">https://www.projectmanager.com/blog/how-to-write-a-business-case</w:t>
        </w:r>
      </w:hyperlink>
      <w:r w:rsidDel="00000000" w:rsidR="00000000" w:rsidRPr="00000000">
        <w:rPr>
          <w:rtl w:val="0"/>
        </w:rPr>
      </w:r>
    </w:p>
    <w:p w:rsidR="00000000" w:rsidDel="00000000" w:rsidP="00000000" w:rsidRDefault="00000000" w:rsidRPr="00000000" w14:paraId="00000265">
      <w:pPr>
        <w:numPr>
          <w:ilvl w:val="0"/>
          <w:numId w:val="11"/>
        </w:numPr>
        <w:pBdr>
          <w:top w:space="0" w:sz="0" w:val="nil"/>
          <w:left w:space="0" w:sz="0" w:val="nil"/>
          <w:bottom w:space="0" w:sz="0" w:val="nil"/>
          <w:right w:space="0" w:sz="0" w:val="nil"/>
          <w:between w:space="0" w:sz="0" w:val="nil"/>
        </w:pBdr>
        <w:ind w:left="600" w:hanging="360"/>
        <w:jc w:val="both"/>
        <w:rPr/>
      </w:pPr>
      <w:hyperlink r:id="rId25">
        <w:r w:rsidDel="00000000" w:rsidR="00000000" w:rsidRPr="00000000">
          <w:rPr>
            <w:rFonts w:ascii="Arial" w:cs="Arial" w:eastAsia="Arial" w:hAnsi="Arial"/>
            <w:color w:val="0000ee"/>
            <w:sz w:val="24"/>
            <w:szCs w:val="24"/>
            <w:u w:val="single"/>
            <w:rtl w:val="0"/>
          </w:rPr>
          <w:t xml:space="preserve">https://www.goteso.com/blog/10-best-grocery-delivery-mobile-apps-in-india/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sz w:val="16"/>
      <w:szCs w:val="16"/>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TableGrid">
    <w:name w:val="Table Grid"/>
    <w:basedOn w:val="TableNormal"/>
    <w:uiPriority w:val="39"/>
    <w:rsid w:val="00FF7A6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1212A3"/>
    <w:rPr>
      <w:color w:val="0000ff" w:themeColor="hyperlink"/>
      <w:u w:val="single"/>
    </w:rPr>
  </w:style>
  <w:style w:type="character" w:styleId="UnresolvedMention">
    <w:name w:val="Unresolved Mention"/>
    <w:basedOn w:val="DefaultParagraphFont"/>
    <w:uiPriority w:val="99"/>
    <w:semiHidden w:val="1"/>
    <w:unhideWhenUsed w:val="1"/>
    <w:rsid w:val="001212A3"/>
    <w:rPr>
      <w:color w:val="605e5c"/>
      <w:shd w:color="auto" w:fill="e1dfdd" w:val="clear"/>
    </w:rPr>
  </w:style>
  <w:style w:type="character" w:styleId="FollowedHyperlink">
    <w:name w:val="FollowedHyperlink"/>
    <w:basedOn w:val="DefaultParagraphFont"/>
    <w:uiPriority w:val="99"/>
    <w:semiHidden w:val="1"/>
    <w:unhideWhenUsed w:val="1"/>
    <w:rsid w:val="00D271C0"/>
    <w:rPr>
      <w:color w:val="800080"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refinery.com/blog/clv-to-cac-ratio-guide-and-benchmarks-2024/" TargetMode="External"/><Relationship Id="rId22" Type="http://schemas.openxmlformats.org/officeDocument/2006/relationships/hyperlink" Target="https://www.retailscrape.com/hyperlocal-price-tracking-trends-in-indians-tier-2-cities.php" TargetMode="External"/><Relationship Id="rId21" Type="http://schemas.openxmlformats.org/officeDocument/2006/relationships/hyperlink" Target="https://www.makreo.com/blog/india-s-hyperlocal-delivery-revolution-how-10-minute-commerce-is-reshaping-retail-and-driving-50-market-growth" TargetMode="External"/><Relationship Id="rId24" Type="http://schemas.openxmlformats.org/officeDocument/2006/relationships/hyperlink" Target="https://www.projectmanager.com/blog/how-to-write-a-business-case" TargetMode="External"/><Relationship Id="rId23" Type="http://schemas.openxmlformats.org/officeDocument/2006/relationships/hyperlink" Target="https://venngage.com/blog/consulting-report-templ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powerbi.com/groups/me/reports/cee1533d-7caf-4090-a991-13af94627810/06b73c12619a18dcc027?experience=power-bi" TargetMode="External"/><Relationship Id="rId25" Type="http://schemas.openxmlformats.org/officeDocument/2006/relationships/hyperlink" Target="https://www.goteso.com/blog/10-best-grocery-delivery-mobile-apps-in-indi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hyperlink" Target="https://docs.google.com/presentation/d/1s0ebsCwWrt5rT9Pa3755WGLPfpVva1OZ/edit?usp=sharing&amp;ouid=108051332792390706341&amp;rtpof=true&amp;sd=true" TargetMode="External"/><Relationship Id="rId12" Type="http://schemas.openxmlformats.org/officeDocument/2006/relationships/image" Target="media/image5.png"/><Relationship Id="rId15" Type="http://schemas.openxmlformats.org/officeDocument/2006/relationships/hyperlink" Target="https://drive.google.com/file/d/1mXTVqX8JFqoo8aZWZX7J1A4f6mSYeahw/view?usp=drive_link" TargetMode="External"/><Relationship Id="rId14" Type="http://schemas.openxmlformats.org/officeDocument/2006/relationships/hyperlink" Target="https://akhileshbenni-skidev-data-analysis.streamlit.app/" TargetMode="External"/><Relationship Id="rId17" Type="http://schemas.openxmlformats.org/officeDocument/2006/relationships/hyperlink" Target="https://app.powerbi.com/groups/me/reports/cee1533d-7caf-4090-a991-13af94627810/06b73c12619a18dcc027?experience=power-bi" TargetMode="External"/><Relationship Id="rId16" Type="http://schemas.openxmlformats.org/officeDocument/2006/relationships/image" Target="media/image4.png"/><Relationship Id="rId19" Type="http://schemas.openxmlformats.org/officeDocument/2006/relationships/hyperlink" Target="https://growth-onomics.com/how-to-calculate-clv-and-cac-ratios/" TargetMode="External"/><Relationship Id="rId18" Type="http://schemas.openxmlformats.org/officeDocument/2006/relationships/hyperlink" Target="https://drive.google.com/file/d/1kgB01GD-_WYBRpnV-GrV45KQIBcHMlLQ/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Gi9f7Iv95S3yk9j8PFXomLnA2w==">CgMxLjA4AHIhMTdvU1RaNEZTaGI3MUVCZDNvNlNyNG5uNlVQNWdVdzBM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2025-11-01T12:59:00Z</dcterms:created>
  <dc:creator>akhilesh benni</dc:creator>
</cp:coreProperties>
</file>