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2E75B6"/>
          <w:spacing w:val="60"/>
          <w:sz w:val="26"/>
          <w:szCs w:val="26"/>
        </w:rPr>
        <w:t xml:space="preserve">PROJECT DOCUMENTATION</w:t>
      </w:r>
    </w:p>
    <w:p>
      <w:pPr>
        <w:spacing w:after="160"/>
        <w:jc w:val="center"/>
      </w:pPr>
      <w:r>
        <w:rPr>
          <w:rFonts w:ascii="Calibri" w:cs="Calibri" w:eastAsia="Calibri" w:hAnsi="Calibri"/>
          <w:b/>
          <w:bCs/>
          <w:color w:val="1F3864"/>
          <w:sz w:val="56"/>
          <w:szCs w:val="56"/>
        </w:rPr>
        <w:t xml:space="preserve">FAERS Adverse Event Demographics</w:t>
      </w:r>
    </w:p>
    <w:p>
      <w:pPr>
        <w:pBdr>
          <w:bottom w:val="single" w:color="2E75B6" w:sz="8" w:space="14"/>
        </w:pBdr>
        <w:spacing w:after="400"/>
        <w:jc w:val="center"/>
      </w:pPr>
      <w:r>
        <w:rPr>
          <w:rFonts w:ascii="Calibri" w:cs="Calibri" w:eastAsia="Calibri" w:hAnsi="Calibri"/>
          <w:color w:val="404040"/>
          <w:sz w:val="32"/>
          <w:szCs w:val="32"/>
        </w:rPr>
        <w:t xml:space="preserve">Exploratory Data Analysis &amp; Association Rule Mining</w:t>
      </w:r>
    </w:p>
    <w:p>
      <w:pPr>
        <w:spacing w:after="80" w:before="300"/>
        <w:jc w:val="center"/>
      </w:pPr>
      <w:r>
        <w:rPr>
          <w:rFonts w:ascii="Calibri" w:cs="Calibri" w:eastAsia="Calibri" w:hAnsi="Calibri"/>
          <w:sz w:val="24"/>
          <w:szCs w:val="24"/>
        </w:rPr>
        <w:t xml:space="preserve">FDA Adverse Event Reporting System (FAERS), Q1 and Q2 2025</w:t>
      </w:r>
    </w:p>
    <w:p>
      <w:pPr>
        <w:spacing w:after="80"/>
        <w:jc w:val="center"/>
      </w:pPr>
      <w:r>
        <w:rPr>
          <w:rFonts w:ascii="Calibri" w:cs="Calibri" w:eastAsia="Calibri" w:hAnsi="Calibri"/>
          <w:sz w:val="24"/>
          <w:szCs w:val="24"/>
        </w:rPr>
        <w:t xml:space="preserve">Tools: Python, pandas, seaborn, mlxtend, networkx</w:t>
      </w:r>
    </w:p>
    <w:p>
      <w:pPr>
        <w:spacing w:before="1800"/>
        <w:jc w:val="center"/>
      </w:pPr>
      <w:r>
        <w:rPr>
          <w:rFonts w:ascii="Calibri" w:cs="Calibri" w:eastAsia="Calibri" w:hAnsi="Calibri"/>
          <w:color w:val="7F7F7F"/>
          <w:sz w:val="22"/>
          <w:szCs w:val="22"/>
        </w:rPr>
        <w:t xml:space="preserve">Author: [Your Name]     Date: [Month Year]</w:t>
      </w:r>
    </w:p>
    <w:p>
      <w:r>
        <w:br w:type="page"/>
      </w:r>
    </w:p>
    <w:p>
      <w:pPr>
        <w:spacing w:after="2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Background</w:t>
      </w:r>
    </w:p>
    <w:p>
      <w:pPr>
        <w:spacing w:after="120" w:line="276"/>
      </w:pPr>
      <w:r>
        <w:rPr>
          <w:rFonts w:ascii="Calibri" w:cs="Calibri" w:eastAsia="Calibri" w:hAnsi="Calibri"/>
          <w:sz w:val="22"/>
          <w:szCs w:val="22"/>
        </w:rPr>
        <w:t xml:space="preserve">The FDA Adverse Event Reporting System (FAERS) is a public database that stores adverse event and medication error reports submitted by healthcare professionals, consumers and drug manufacturers. It supports the FDA's post-marketing safety surveillance. Each quarter the FDA publishes a set of relational tables; this project works with the DEMO (demographic) table, which holds one row per case version with patient and report details.</w:t>
      </w:r>
    </w:p>
    <w:p>
      <w:pPr>
        <w:pStyle w:val="Heading2"/>
      </w:pPr>
      <w:r>
        <w:t xml:space="preserve">1.2 Problem Statement</w:t>
      </w:r>
    </w:p>
    <w:p>
      <w:pPr>
        <w:spacing w:after="120" w:line="276"/>
      </w:pPr>
      <w:r>
        <w:rPr>
          <w:rFonts w:ascii="Calibri" w:cs="Calibri" w:eastAsia="Calibri" w:hAnsi="Calibri"/>
          <w:sz w:val="22"/>
          <w:szCs w:val="22"/>
        </w:rPr>
        <w:t xml:space="preserve">Quarterly FAERS files are released separately, contain inconsistent blanks and implausible values, and are not directly ready for analysis. The project asks two questions: what does the demographic and reporting profile of FAERS cases look like across two quarters, and which case attributes tend to appear together?</w:t>
      </w:r>
    </w:p>
    <w:p>
      <w:pPr>
        <w:pStyle w:val="Heading2"/>
      </w:pPr>
      <w:r>
        <w:t xml:space="preserve">1.3 Objectives</w:t>
      </w:r>
    </w:p>
    <w:p>
      <w:pPr>
        <w:pStyle w:val="ListParagraph"/>
        <w:numPr>
          <w:ilvl w:val="0"/>
          <w:numId w:val="2"/>
        </w:numPr>
        <w:spacing w:after="60"/>
      </w:pPr>
      <w:r>
        <w:rPr>
          <w:rFonts w:ascii="Calibri" w:cs="Calibri" w:eastAsia="Calibri" w:hAnsi="Calibri"/>
          <w:sz w:val="22"/>
          <w:szCs w:val="22"/>
        </w:rPr>
        <w:t xml:space="preserve">Clean and standardize the Q1 2025 and Q2 2025 DEMO files.</w:t>
      </w:r>
    </w:p>
    <w:p>
      <w:pPr>
        <w:pStyle w:val="ListParagraph"/>
        <w:numPr>
          <w:ilvl w:val="0"/>
          <w:numId w:val="2"/>
        </w:numPr>
        <w:spacing w:after="60"/>
      </w:pPr>
      <w:r>
        <w:rPr>
          <w:rFonts w:ascii="Calibri" w:cs="Calibri" w:eastAsia="Calibri" w:hAnsi="Calibri"/>
          <w:sz w:val="22"/>
          <w:szCs w:val="22"/>
        </w:rPr>
        <w:t xml:space="preserve">Merge them into one de-duplicated dataset.</w:t>
      </w:r>
    </w:p>
    <w:p>
      <w:pPr>
        <w:pStyle w:val="ListParagraph"/>
        <w:numPr>
          <w:ilvl w:val="0"/>
          <w:numId w:val="2"/>
        </w:numPr>
        <w:spacing w:after="60"/>
      </w:pPr>
      <w:r>
        <w:rPr>
          <w:rFonts w:ascii="Calibri" w:cs="Calibri" w:eastAsia="Calibri" w:hAnsi="Calibri"/>
          <w:sz w:val="22"/>
          <w:szCs w:val="22"/>
        </w:rPr>
        <w:t xml:space="preserve">Assess data quality, including missing values.</w:t>
      </w:r>
    </w:p>
    <w:p>
      <w:pPr>
        <w:pStyle w:val="ListParagraph"/>
        <w:numPr>
          <w:ilvl w:val="0"/>
          <w:numId w:val="2"/>
        </w:numPr>
        <w:spacing w:after="60"/>
      </w:pPr>
      <w:r>
        <w:rPr>
          <w:rFonts w:ascii="Calibri" w:cs="Calibri" w:eastAsia="Calibri" w:hAnsi="Calibri"/>
          <w:sz w:val="22"/>
          <w:szCs w:val="22"/>
        </w:rPr>
        <w:t xml:space="preserve">Explore the data with 22 visualizations and summary statistics.</w:t>
      </w:r>
    </w:p>
    <w:p>
      <w:pPr>
        <w:pStyle w:val="ListParagraph"/>
        <w:numPr>
          <w:ilvl w:val="0"/>
          <w:numId w:val="2"/>
        </w:numPr>
        <w:spacing w:after="60"/>
      </w:pPr>
      <w:r>
        <w:rPr>
          <w:rFonts w:ascii="Calibri" w:cs="Calibri" w:eastAsia="Calibri" w:hAnsi="Calibri"/>
          <w:sz w:val="22"/>
          <w:szCs w:val="22"/>
        </w:rPr>
        <w:t xml:space="preserve">Apply the Apriori algorithm to find association rules between categorical case attributes.</w:t>
      </w:r>
    </w:p>
    <w:p>
      <w:pPr>
        <w:pStyle w:val="ListParagraph"/>
        <w:numPr>
          <w:ilvl w:val="0"/>
          <w:numId w:val="2"/>
        </w:numPr>
        <w:spacing w:after="60"/>
      </w:pPr>
      <w:r>
        <w:rPr>
          <w:rFonts w:ascii="Calibri" w:cs="Calibri" w:eastAsia="Calibri" w:hAnsi="Calibri"/>
          <w:sz w:val="22"/>
          <w:szCs w:val="22"/>
        </w:rPr>
        <w:t xml:space="preserve">Export the cleaned dataset for downstream modelling.</w:t>
      </w:r>
    </w:p>
    <w:p>
      <w:pPr>
        <w:pStyle w:val="Heading2"/>
      </w:pPr>
      <w:r>
        <w:t xml:space="preserve">1.4 Scope</w:t>
      </w:r>
    </w:p>
    <w:p>
      <w:pPr>
        <w:spacing w:after="120" w:line="276"/>
      </w:pPr>
      <w:r>
        <w:rPr>
          <w:rFonts w:ascii="Calibri" w:cs="Calibri" w:eastAsia="Calibri" w:hAnsi="Calibri"/>
          <w:sz w:val="22"/>
          <w:szCs w:val="22"/>
        </w:rPr>
        <w:t xml:space="preserve">Only the demographic table is analysed. The drug and reaction tables are outside the scope, so the association rules describe how report attributes co-occur, not drug-reaction relationships.</w:t>
      </w:r>
    </w:p>
    <w:p>
      <w:pPr>
        <w:pStyle w:val="Heading1"/>
      </w:pPr>
      <w:r>
        <w:t xml:space="preserve">2. Dataset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Detail</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Source</w:t>
            </w:r>
          </w:p>
        </w:tc>
        <w:tc>
          <w:tcPr>
            <w:tcW w:type="dxa" w:w="6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U.S. FDA FAERS Quarterly Data Files</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Files</w:t>
            </w:r>
          </w:p>
        </w:tc>
        <w:tc>
          <w:tcPr>
            <w:tcW w:type="dxa" w:w="6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demo2025q1.csv and demo2025q2.csv</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Raw size</w:t>
            </w:r>
          </w:p>
        </w:tc>
        <w:tc>
          <w:tcPr>
            <w:tcW w:type="dxa" w:w="6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About 400K rows (Q1) and 393K rows (Q2)</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Granularity</w:t>
            </w:r>
          </w:p>
        </w:tc>
        <w:tc>
          <w:tcPr>
            <w:tcW w:type="dxa" w:w="6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One row per case version, identified by primaryid, caseid and caseversion</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Format</w:t>
            </w:r>
          </w:p>
        </w:tc>
        <w:tc>
          <w:tcPr>
            <w:tcW w:type="dxa" w:w="6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CSV, loaded with pandas (low_memory=False)</w:t>
            </w:r>
          </w:p>
        </w:tc>
      </w:tr>
    </w:tbl>
    <w:p>
      <w:pPr>
        <w:spacing w:after="160"/>
      </w:pPr>
    </w:p>
    <w:p>
      <w:pPr>
        <w:pStyle w:val="Heading2"/>
      </w:pPr>
      <w:r>
        <w:t xml:space="preserve">2.1 Column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7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primaryid / caseid / caseversion</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Unique report identifier, case identifier, and version number of the case</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i_f_code</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Initial (I) or follow-up (F) report</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rept_cod</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Report type, for example EXP (expedited), PER (periodic), DIR (direct)</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event_dt, mfr_dt, init_fda_dt, fda_dt, rept_dt</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Event, manufacturer, initial FDA, FDA receipt and report dates (YYYYMMDD)</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mfr_num, mfr_sndr, auth_num, lit_ref, to_mfr</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Manufacturer and report reference fields</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age, age_cod, age_grp</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Patient age, its unit code, and age group (N, I, C, T, A, E)</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sex</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Patient sex (F, M, UNK)</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wt, wt_cod</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Patient weight and its unit (KG or LBS)</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occp_cod</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Reporter occupation (MD, CN, PH, HP, LW)</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reporter_country, occr_country</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Country of the reporter and country where the event occurred</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e_sub</w:t>
            </w:r>
          </w:p>
        </w:tc>
        <w:tc>
          <w:tcPr>
            <w:tcW w:type="dxa" w:w="7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Whether the report was submitted electronically (Y/N)</w:t>
            </w:r>
          </w:p>
        </w:tc>
      </w:tr>
    </w:tbl>
    <w:p>
      <w:pPr>
        <w:spacing w:after="160"/>
      </w:pPr>
    </w:p>
    <w:p>
      <w:pPr>
        <w:pStyle w:val="Heading1"/>
      </w:pPr>
      <w:r>
        <w:t xml:space="preserve">3. Environment Setup</w:t>
      </w:r>
    </w:p>
    <w:p>
      <w:pPr>
        <w:pStyle w:val="Heading2"/>
      </w:pPr>
      <w:r>
        <w:t xml:space="preserve">3.1 Requirements</w:t>
      </w:r>
    </w:p>
    <w:p>
      <w:pPr>
        <w:pStyle w:val="ListParagraph"/>
        <w:numPr>
          <w:ilvl w:val="0"/>
          <w:numId w:val="2"/>
        </w:numPr>
        <w:spacing w:after="60"/>
      </w:pPr>
      <w:r>
        <w:rPr>
          <w:rFonts w:ascii="Calibri" w:cs="Calibri" w:eastAsia="Calibri" w:hAnsi="Calibri"/>
          <w:sz w:val="22"/>
          <w:szCs w:val="22"/>
        </w:rPr>
        <w:t xml:space="preserve">Python 3.10 or newer (the notebook was developed with Python 3.13.9)</w:t>
      </w:r>
    </w:p>
    <w:p>
      <w:pPr>
        <w:pStyle w:val="ListParagraph"/>
        <w:numPr>
          <w:ilvl w:val="0"/>
          <w:numId w:val="2"/>
        </w:numPr>
        <w:spacing w:after="60"/>
      </w:pPr>
      <w:r>
        <w:rPr>
          <w:rFonts w:ascii="Calibri" w:cs="Calibri" w:eastAsia="Calibri" w:hAnsi="Calibri"/>
          <w:sz w:val="22"/>
          <w:szCs w:val="22"/>
        </w:rPr>
        <w:t xml:space="preserve">Jupyter Notebook or JupyterLab</w:t>
      </w:r>
    </w:p>
    <w:p>
      <w:pPr>
        <w:pStyle w:val="ListParagraph"/>
        <w:numPr>
          <w:ilvl w:val="0"/>
          <w:numId w:val="2"/>
        </w:numPr>
        <w:spacing w:after="60"/>
      </w:pPr>
      <w:r>
        <w:rPr>
          <w:rFonts w:ascii="Calibri" w:cs="Calibri" w:eastAsia="Calibri" w:hAnsi="Calibri"/>
          <w:sz w:val="22"/>
          <w:szCs w:val="22"/>
        </w:rPr>
        <w:t xml:space="preserve">pandas 2.2 or newer, because the notebook uses the 'ME' month-end resample alias</w:t>
      </w:r>
    </w:p>
    <w:p>
      <w:pPr>
        <w:pStyle w:val="Heading2"/>
      </w:pPr>
      <w:r>
        <w:t xml:space="preserve">3.2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Library</w:t>
            </w:r>
          </w:p>
        </w:tc>
        <w:tc>
          <w:tcPr>
            <w:tcW w:type="dxa" w:w="68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numpy, pandas</w:t>
            </w:r>
          </w:p>
        </w:tc>
        <w:tc>
          <w:tcPr>
            <w:tcW w:type="dxa" w:w="6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Data handling and cleaning</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matplotlib, seaborn</w:t>
            </w:r>
          </w:p>
        </w:tc>
        <w:tc>
          <w:tcPr>
            <w:tcW w:type="dxa" w:w="6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Static visualizations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mlxtend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TransactionEncoder, Apriori and association_rules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networkx</w:t>
            </w:r>
          </w:p>
        </w:tc>
        <w:tc>
          <w:tcPr>
            <w:tcW w:type="dxa" w:w="6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Rule network graph</w:t>
            </w:r>
          </w:p>
        </w:tc>
      </w:tr>
    </w:tbl>
    <w:p>
      <w:pPr>
        <w:spacing w:after="160"/>
      </w:pPr>
    </w:p>
    <w:p>
      <w:pPr>
        <w:pStyle w:val="Heading2"/>
      </w:pPr>
      <w:r>
        <w:t xml:space="preserve">3.3 Installation</w:t>
      </w:r>
    </w:p>
    <w:p>
      <w:pPr>
        <w:pBdr>
          <w:left w:val="single" w:color="2E75B6" w:sz="12" w:space="6"/>
        </w:pBdr>
        <w:shd w:fill="F4F4F4" w:val="clear"/>
        <w:spacing w:after="0" w:line="252"/>
        <w:ind w:left="160"/>
      </w:pPr>
      <w:r>
        <w:rPr>
          <w:rFonts w:ascii="Consolas" w:cs="Consolas" w:eastAsia="Consolas" w:hAnsi="Consolas"/>
          <w:sz w:val="19"/>
          <w:szCs w:val="19"/>
        </w:rPr>
        <w:t xml:space="preserve">python -m venv venv</w:t>
      </w:r>
    </w:p>
    <w:p>
      <w:pPr>
        <w:pBdr>
          <w:left w:val="single" w:color="2E75B6" w:sz="12" w:space="6"/>
        </w:pBdr>
        <w:shd w:fill="F4F4F4" w:val="clear"/>
        <w:spacing w:after="0" w:line="252"/>
        <w:ind w:left="160"/>
      </w:pPr>
      <w:r>
        <w:rPr>
          <w:rFonts w:ascii="Consolas" w:cs="Consolas" w:eastAsia="Consolas" w:hAnsi="Consolas"/>
          <w:sz w:val="19"/>
          <w:szCs w:val="19"/>
        </w:rPr>
        <w:t xml:space="preserve">source venv/bin/activate      # Windows: venv\Scripts\activate</w:t>
      </w:r>
    </w:p>
    <w:p>
      <w:pPr>
        <w:pBdr>
          <w:left w:val="single" w:color="2E75B6" w:sz="12" w:space="6"/>
        </w:pBdr>
        <w:shd w:fill="F4F4F4" w:val="clear"/>
        <w:spacing w:after="0" w:line="252"/>
        <w:ind w:left="160"/>
      </w:pPr>
      <w:r>
        <w:rPr>
          <w:rFonts w:ascii="Consolas" w:cs="Consolas" w:eastAsia="Consolas" w:hAnsi="Consolas"/>
          <w:sz w:val="19"/>
          <w:szCs w:val="19"/>
        </w:rPr>
        <w:t xml:space="preserve">pip install numpy "pandas&gt;=2.2" matplotlib seaborn mlxtend networkx jupyter</w:t>
      </w:r>
    </w:p>
    <w:p>
      <w:pPr>
        <w:spacing w:after="100"/>
      </w:pPr>
    </w:p>
    <w:p>
      <w:pPr>
        <w:pStyle w:val="Heading1"/>
      </w:pPr>
      <w:r>
        <w:t xml:space="preserve">4. Step-by-Step Project Workflow</w:t>
      </w:r>
    </w:p>
    <w:p>
      <w:pPr>
        <w:spacing w:after="120" w:line="276"/>
      </w:pPr>
      <w:r>
        <w:rPr>
          <w:rFonts w:ascii="Calibri" w:cs="Calibri" w:eastAsia="Calibri" w:hAnsi="Calibri"/>
          <w:sz w:val="22"/>
          <w:szCs w:val="22"/>
        </w:rPr>
        <w:t xml:space="preserve">This chapter follows the notebook in order. Each step states what is done, how, and why.</w:t>
      </w:r>
    </w:p>
    <w:p>
      <w:pPr>
        <w:pStyle w:val="Heading2"/>
      </w:pPr>
      <w:r>
        <w:t xml:space="preserve">Step 1: Setup and Imports</w:t>
      </w:r>
    </w:p>
    <w:p>
      <w:pPr>
        <w:spacing w:after="120" w:line="276"/>
      </w:pPr>
      <w:r>
        <w:rPr>
          <w:rFonts w:ascii="Calibri" w:cs="Calibri" w:eastAsia="Calibri" w:hAnsi="Calibri"/>
          <w:sz w:val="22"/>
          <w:szCs w:val="22"/>
        </w:rPr>
        <w:t xml:space="preserve">The notebook imports the analysis libraries, silences warnings, and sets a consistent seaborn theme and figure size. It also defines a helper, new_fig(), that increments a global counter each time a chart is created, so the total number of visualizations can be verified at the end.</w:t>
      </w:r>
    </w:p>
    <w:p>
      <w:pPr>
        <w:pStyle w:val="Heading2"/>
      </w:pPr>
      <w:r>
        <w:t xml:space="preserve">Step 2: Load the Dataset</w:t>
      </w:r>
    </w:p>
    <w:p>
      <w:pPr>
        <w:spacing w:after="120" w:line="276"/>
      </w:pPr>
      <w:r>
        <w:rPr>
          <w:rFonts w:ascii="Calibri" w:cs="Calibri" w:eastAsia="Calibri" w:hAnsi="Calibri"/>
          <w:sz w:val="22"/>
          <w:szCs w:val="22"/>
        </w:rPr>
        <w:t xml:space="preserve">Both quarterly CSV files are read into df_q1 and df_q2 with low_memory=False to avoid mixed-type column warnings on large files. The shapes are printed and info() is called on each to inspect column types and non-null counts.</w:t>
      </w:r>
    </w:p>
    <w:p>
      <w:pPr>
        <w:pBdr>
          <w:left w:val="single" w:color="2E75B6" w:sz="12" w:space="6"/>
        </w:pBdr>
        <w:shd w:fill="F4F4F4" w:val="clear"/>
        <w:spacing w:after="0" w:line="252"/>
        <w:ind w:left="160"/>
      </w:pPr>
      <w:r>
        <w:rPr>
          <w:rFonts w:ascii="Consolas" w:cs="Consolas" w:eastAsia="Consolas" w:hAnsi="Consolas"/>
          <w:sz w:val="19"/>
          <w:szCs w:val="19"/>
        </w:rPr>
        <w:t xml:space="preserve">df_q1 = pd.read_csv("demo2025q1.csv", low_memory=False)</w:t>
      </w:r>
    </w:p>
    <w:p>
      <w:pPr>
        <w:pBdr>
          <w:left w:val="single" w:color="2E75B6" w:sz="12" w:space="6"/>
        </w:pBdr>
        <w:shd w:fill="F4F4F4" w:val="clear"/>
        <w:spacing w:after="0" w:line="252"/>
        <w:ind w:left="160"/>
      </w:pPr>
      <w:r>
        <w:rPr>
          <w:rFonts w:ascii="Consolas" w:cs="Consolas" w:eastAsia="Consolas" w:hAnsi="Consolas"/>
          <w:sz w:val="19"/>
          <w:szCs w:val="19"/>
        </w:rPr>
        <w:t xml:space="preserve">df_q2 = pd.read_csv("demo2025q2.csv", low_memory=False)</w:t>
      </w:r>
    </w:p>
    <w:p>
      <w:pPr>
        <w:spacing w:after="100"/>
      </w:pPr>
    </w:p>
    <w:p>
      <w:pPr>
        <w:pStyle w:val="Heading2"/>
      </w:pPr>
      <w:r>
        <w:t xml:space="preserve">Step 3: Data Cleaning and Preparation</w:t>
      </w:r>
    </w:p>
    <w:p>
      <w:pPr>
        <w:pStyle w:val="Heading3"/>
      </w:pPr>
      <w:r>
        <w:t xml:space="preserve">3.1 Schema check</w:t>
      </w:r>
    </w:p>
    <w:p>
      <w:pPr>
        <w:spacing w:after="120" w:line="276"/>
      </w:pPr>
      <w:r>
        <w:rPr>
          <w:rFonts w:ascii="Calibri" w:cs="Calibri" w:eastAsia="Calibri" w:hAnsi="Calibri"/>
          <w:sz w:val="22"/>
          <w:szCs w:val="22"/>
        </w:rPr>
        <w:t xml:space="preserve">The column lists of both files are compared. Identical schemas confirm the quarters can be stacked safely.</w:t>
      </w:r>
    </w:p>
    <w:p>
      <w:pPr>
        <w:pStyle w:val="Heading3"/>
      </w:pPr>
      <w:r>
        <w:t xml:space="preserve">3.2 Tag the source quarter</w:t>
      </w:r>
    </w:p>
    <w:p>
      <w:pPr>
        <w:spacing w:after="120" w:line="276"/>
      </w:pPr>
      <w:r>
        <w:rPr>
          <w:rFonts w:ascii="Calibri" w:cs="Calibri" w:eastAsia="Calibri" w:hAnsi="Calibri"/>
          <w:sz w:val="22"/>
          <w:szCs w:val="22"/>
        </w:rPr>
        <w:t xml:space="preserve">A quarter column ("2025Q1" or "2025Q2") is added before merging, so the origin of every row is preserved.</w:t>
      </w:r>
    </w:p>
    <w:p>
      <w:pPr>
        <w:pStyle w:val="Heading3"/>
      </w:pPr>
      <w:r>
        <w:t xml:space="preserve">3.3 Parse dates</w:t>
      </w:r>
    </w:p>
    <w:p>
      <w:pPr>
        <w:spacing w:after="120" w:line="276"/>
      </w:pPr>
      <w:r>
        <w:rPr>
          <w:rFonts w:ascii="Calibri" w:cs="Calibri" w:eastAsia="Calibri" w:hAnsi="Calibri"/>
          <w:sz w:val="22"/>
          <w:szCs w:val="22"/>
        </w:rPr>
        <w:t xml:space="preserve">FAERS stores dates as YYYYMMDD numbers. A helper, parse_faers_date(), converts event_dt, mfr_dt, init_fda_dt, fda_dt and rept_dt to datetime with errors="coerce", so partial or invalid dates become NaT instead of raising errors.</w:t>
      </w:r>
    </w:p>
    <w:p>
      <w:pPr>
        <w:pStyle w:val="Heading3"/>
      </w:pPr>
      <w:r>
        <w:t xml:space="preserve">3.4 Standardize categorical values</w:t>
      </w:r>
    </w:p>
    <w:p>
      <w:pPr>
        <w:spacing w:after="120" w:line="276"/>
      </w:pPr>
      <w:r>
        <w:rPr>
          <w:rFonts w:ascii="Calibri" w:cs="Calibri" w:eastAsia="Calibri" w:hAnsi="Calibri"/>
          <w:sz w:val="22"/>
          <w:szCs w:val="22"/>
        </w:rPr>
        <w:t xml:space="preserve">Fifteen categorical columns are converted to the string type, trimmed of whitespace, and have empty strings, the text "nan" and the code "UNK" replaced with true missing values. This makes missing-value counts and category counts accurate.</w:t>
      </w:r>
    </w:p>
    <w:p>
      <w:pPr>
        <w:pStyle w:val="Heading3"/>
      </w:pPr>
      <w:r>
        <w:t xml:space="preserve">3.5 Remove implausible values</w:t>
      </w:r>
    </w:p>
    <w:p>
      <w:pPr>
        <w:spacing w:after="120" w:line="276"/>
      </w:pPr>
      <w:r>
        <w:rPr>
          <w:rFonts w:ascii="Calibri" w:cs="Calibri" w:eastAsia="Calibri" w:hAnsi="Calibri"/>
          <w:sz w:val="22"/>
          <w:szCs w:val="22"/>
        </w:rPr>
        <w:t xml:space="preserve">Ages below 0 or above 122, and weights at or below 0 or above 400, are set to missing. These are treated as data-entry errors, and 122 reflects the longest documented human lifespan.</w:t>
      </w:r>
    </w:p>
    <w:p>
      <w:pPr>
        <w:pStyle w:val="Heading2"/>
      </w:pPr>
      <w:r>
        <w:t xml:space="preserve">Step 4: Merge the Two Quarters</w:t>
      </w:r>
    </w:p>
    <w:p>
      <w:pPr>
        <w:spacing w:after="120" w:line="276"/>
      </w:pPr>
      <w:r>
        <w:rPr>
          <w:rFonts w:ascii="Calibri" w:cs="Calibri" w:eastAsia="Calibri" w:hAnsi="Calibri"/>
          <w:sz w:val="22"/>
          <w:szCs w:val="22"/>
        </w:rPr>
        <w:t xml:space="preserve">The two dataframes are concatenated vertically. Duplicate rows are then dropped on the combination of primaryid, caseid and caseversion, and the number removed is printed. Finally the categorical columns and the quarter column are converted to the category dtype to cut memory use.</w:t>
      </w:r>
    </w:p>
    <w:p>
      <w:pPr>
        <w:pBdr>
          <w:left w:val="single" w:color="2E75B6" w:sz="12" w:space="6"/>
        </w:pBdr>
        <w:shd w:fill="F4F4F4" w:val="clear"/>
        <w:spacing w:after="0" w:line="252"/>
        <w:ind w:left="160"/>
      </w:pPr>
      <w:r>
        <w:rPr>
          <w:rFonts w:ascii="Consolas" w:cs="Consolas" w:eastAsia="Consolas" w:hAnsi="Consolas"/>
          <w:sz w:val="19"/>
          <w:szCs w:val="19"/>
        </w:rPr>
        <w:t xml:space="preserve">merged_df = pd.concat([df_q1, df_q2], axis=0, ignore_index=True)</w:t>
      </w:r>
    </w:p>
    <w:p>
      <w:pPr>
        <w:pBdr>
          <w:left w:val="single" w:color="2E75B6" w:sz="12" w:space="6"/>
        </w:pBdr>
        <w:shd w:fill="F4F4F4" w:val="clear"/>
        <w:spacing w:after="0" w:line="252"/>
        <w:ind w:left="160"/>
      </w:pPr>
      <w:r>
        <w:rPr>
          <w:rFonts w:ascii="Consolas" w:cs="Consolas" w:eastAsia="Consolas" w:hAnsi="Consolas"/>
          <w:sz w:val="19"/>
          <w:szCs w:val="19"/>
        </w:rPr>
        <w:t xml:space="preserve">merged_df = merged_df.drop_duplicates(subset=['primaryid', 'caseid', 'caseversion'])</w:t>
      </w:r>
    </w:p>
    <w:p>
      <w:pPr>
        <w:spacing w:after="100"/>
      </w:pPr>
    </w:p>
    <w:p>
      <w:pPr>
        <w:pStyle w:val="Heading2"/>
      </w:pPr>
      <w:r>
        <w:t xml:space="preserve">Step 5: Missing-Value Analysis</w:t>
      </w:r>
    </w:p>
    <w:p>
      <w:pPr>
        <w:spacing w:after="120" w:line="276"/>
      </w:pPr>
      <w:r>
        <w:rPr>
          <w:rFonts w:ascii="Calibri" w:cs="Calibri" w:eastAsia="Calibri" w:hAnsi="Calibri"/>
          <w:sz w:val="22"/>
          <w:szCs w:val="22"/>
        </w:rPr>
        <w:t xml:space="preserve">The percentage of missing values per column is computed, filtered to columns with any missing data, and shown in a horizontal bar chart with percentage labels. This tells you which fields are reliable (for example, sex and report type) and which are sparse (for example, weight or manufacturer fields).</w:t>
      </w:r>
    </w:p>
    <w:p>
      <w:pPr>
        <w:pStyle w:val="Heading2"/>
      </w:pPr>
      <w:r>
        <w:t xml:space="preserve">Step 6: Exploratory Data Analysis</w:t>
      </w:r>
    </w:p>
    <w:p>
      <w:pPr>
        <w:spacing w:after="120" w:line="276"/>
      </w:pPr>
      <w:r>
        <w:rPr>
          <w:rFonts w:ascii="Calibri" w:cs="Calibri" w:eastAsia="Calibri" w:hAnsi="Calibri"/>
          <w:sz w:val="22"/>
          <w:szCs w:val="22"/>
        </w:rPr>
        <w:t xml:space="preserve">The EDA section contains 21 charts plus a summary-statistics table. They are grouped below by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4726"/>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Visualization</w:t>
            </w:r>
          </w:p>
        </w:tc>
        <w:tc>
          <w:tcPr>
            <w:tcW w:type="dxa" w:w="4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Question answered</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cases per quarter</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How many cases came from each quarter?</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6.2</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Pie chart: sex distribution</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What is the male/female split?</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6.3</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Histogram + KDE: age</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What is the shape of the age distribution?</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6.4</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Boxplot: age by sex</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Do ages differ between sexes?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6.5</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age group</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Which age groups report most?</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6.6</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Histogram: weight (KG)</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What is the weight distribution?</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6.7</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report type</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Which report types dominate?</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6.8</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reporter occupation</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Who submits the reports?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6.9</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top 15 reporter countries</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Which countries report most?</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6.10</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top 15 event countries</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Where do events occur?</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6.11</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Pie chart: e_sub</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How many reports are electronic?</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6.12</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initial vs follow-up</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How many reports are follow-ups?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6.13</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case version (capped at 10)</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How often are cases amended?</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6.14</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Line chart: monthly event onset (2015+)</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How do event dates trend over time?</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6.15</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Line chart: monthly FDA receipt</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When did the FDA receive reports?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6.16</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Heatmap: numeric correlations</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Are age, weight and version correlated?</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6.17</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Scatter: age vs weight (5,000 sample)</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How do age and weight relate, by sex?</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6.18</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Heatmap: sex vs report type</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Does report type vary by sex?</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6.19</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top 10 manufacturers/senders</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Which companies send most reports?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6.20</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Stacked bar: occupation vs sex (%)</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Does reporter occupation differ by patient sex?</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6.21</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Grouped bar: quarter vs report type</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Did report mix change between quarters?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6.22</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Summary statistics table</w:t>
            </w:r>
          </w:p>
        </w:tc>
        <w:tc>
          <w:tcPr>
            <w:tcW w:type="dxa" w:w="4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Descriptive statistics for numeric and categorical fields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2E75B6" w:sz="24"/>
              <w:bottom w:val="single" w:color="BFBFBF" w:sz="4"/>
              <w:right w:val="single" w:color="BFBFBF" w:sz="4"/>
            </w:tcBorders>
            <w:shd w:fill="EAF2FA" w:val="clear"/>
            <w:tcMar>
              <w:top w:type="dxa" w:w="100"/>
              <w:left w:type="dxa" w:w="160"/>
              <w:bottom w:type="dxa" w:w="100"/>
              <w:right w:type="dxa" w:w="160"/>
            </w:tcMar>
          </w:tcPr>
          <w:p>
            <w:pPr>
              <w:spacing w:after="40"/>
            </w:pPr>
            <w:r>
              <w:rPr>
                <w:rFonts w:ascii="Calibri" w:cs="Calibri" w:eastAsia="Calibri" w:hAnsi="Calibri"/>
                <w:b/>
                <w:bCs/>
                <w:color w:val="1F3864"/>
                <w:sz w:val="22"/>
                <w:szCs w:val="22"/>
              </w:rPr>
              <w:t xml:space="preserve">How to document your results</w:t>
            </w:r>
          </w:p>
          <w:p>
            <w:r>
              <w:rPr>
                <w:rFonts w:ascii="Calibri" w:cs="Calibri" w:eastAsia="Calibri" w:hAnsi="Calibri"/>
                <w:sz w:val="22"/>
                <w:szCs w:val="22"/>
              </w:rPr>
              <w:t xml:space="preserve">The saved notebook has no cell outputs. After running it, add one sentence under each chart in your own write-up stating what it shows (for example, the percentage of female cases or the top reporting country), using the real numbers from your run.</w:t>
            </w:r>
          </w:p>
        </w:tc>
      </w:tr>
    </w:tbl>
    <w:p>
      <w:pPr>
        <w:spacing w:after="160"/>
      </w:pPr>
    </w:p>
    <w:p>
      <w:pPr>
        <w:pStyle w:val="Heading2"/>
      </w:pPr>
      <w:r>
        <w:t xml:space="preserve">Step 7: Build the Transaction Basket</w:t>
      </w:r>
    </w:p>
    <w:p>
      <w:pPr>
        <w:spacing w:after="120" w:line="276"/>
      </w:pPr>
      <w:r>
        <w:rPr>
          <w:rFonts w:ascii="Calibri" w:cs="Calibri" w:eastAsia="Calibri" w:hAnsi="Calibri"/>
          <w:sz w:val="22"/>
          <w:szCs w:val="22"/>
        </w:rPr>
        <w:t xml:space="preserve">Association rule mining needs transactional data. Because the DEMO table has no drug or reaction basket, each case is turned into a basket of column=value items, for example sex=F, age_grp=A, occp_cod=MD, rept_cod=EXP, e_sub=Y.</w:t>
      </w:r>
    </w:p>
    <w:p>
      <w:pPr>
        <w:pStyle w:val="ListParagraph"/>
        <w:numPr>
          <w:ilvl w:val="0"/>
          <w:numId w:val="3"/>
        </w:numPr>
        <w:spacing w:after="80"/>
      </w:pPr>
      <w:r>
        <w:rPr>
          <w:rFonts w:ascii="Calibri" w:cs="Calibri" w:eastAsia="Calibri" w:hAnsi="Calibri"/>
          <w:sz w:val="22"/>
          <w:szCs w:val="22"/>
        </w:rPr>
        <w:t xml:space="preserve">Choose the basket columns: sex, age_grp, occp_cod, rept_cod, e_sub, wt_cod, i_f_code.</w:t>
      </w:r>
    </w:p>
    <w:p>
      <w:pPr>
        <w:pStyle w:val="ListParagraph"/>
        <w:numPr>
          <w:ilvl w:val="0"/>
          <w:numId w:val="3"/>
        </w:numPr>
        <w:spacing w:after="80"/>
      </w:pPr>
      <w:r>
        <w:rPr>
          <w:rFonts w:ascii="Calibri" w:cs="Calibri" w:eastAsia="Calibri" w:hAnsi="Calibri"/>
          <w:sz w:val="22"/>
          <w:szCs w:val="22"/>
        </w:rPr>
        <w:t xml:space="preserve">Reduce reporter_country to the top 9 countries plus OTHER, to keep the item space small.</w:t>
      </w:r>
    </w:p>
    <w:p>
      <w:pPr>
        <w:pStyle w:val="ListParagraph"/>
        <w:numPr>
          <w:ilvl w:val="0"/>
          <w:numId w:val="3"/>
        </w:numPr>
        <w:spacing w:after="80"/>
      </w:pPr>
      <w:r>
        <w:rPr>
          <w:rFonts w:ascii="Calibri" w:cs="Calibri" w:eastAsia="Calibri" w:hAnsi="Calibri"/>
          <w:sz w:val="22"/>
          <w:szCs w:val="22"/>
        </w:rPr>
        <w:t xml:space="preserve">Prefix each value with its column name so items are unambiguous (for example sex=F).</w:t>
      </w:r>
    </w:p>
    <w:p>
      <w:pPr>
        <w:pStyle w:val="ListParagraph"/>
        <w:numPr>
          <w:ilvl w:val="0"/>
          <w:numId w:val="3"/>
        </w:numPr>
        <w:spacing w:after="80"/>
      </w:pPr>
      <w:r>
        <w:rPr>
          <w:rFonts w:ascii="Calibri" w:cs="Calibri" w:eastAsia="Calibri" w:hAnsi="Calibri"/>
          <w:sz w:val="22"/>
          <w:szCs w:val="22"/>
        </w:rPr>
        <w:t xml:space="preserve">Keep true missing values as NaN so they are excluded from the basket.</w:t>
      </w:r>
    </w:p>
    <w:p>
      <w:pPr>
        <w:pStyle w:val="ListParagraph"/>
        <w:numPr>
          <w:ilvl w:val="0"/>
          <w:numId w:val="3"/>
        </w:numPr>
        <w:spacing w:after="80"/>
      </w:pPr>
      <w:r>
        <w:rPr>
          <w:rFonts w:ascii="Calibri" w:cs="Calibri" w:eastAsia="Calibri" w:hAnsi="Calibri"/>
          <w:sz w:val="22"/>
          <w:szCs w:val="22"/>
        </w:rPr>
        <w:t xml:space="preserve">Drop cases that are missing more than 3 of the 8 attributes, since they carry too little information.</w:t>
      </w:r>
    </w:p>
    <w:p>
      <w:pPr>
        <w:pStyle w:val="ListParagraph"/>
        <w:numPr>
          <w:ilvl w:val="0"/>
          <w:numId w:val="3"/>
        </w:numPr>
        <w:spacing w:after="80"/>
      </w:pPr>
      <w:r>
        <w:rPr>
          <w:rFonts w:ascii="Calibri" w:cs="Calibri" w:eastAsia="Calibri" w:hAnsi="Calibri"/>
          <w:sz w:val="22"/>
          <w:szCs w:val="22"/>
        </w:rPr>
        <w:t xml:space="preserve">Randomly sample 60,000 cases (random_state=42) for computational tractability.</w:t>
      </w:r>
    </w:p>
    <w:p>
      <w:pPr>
        <w:pStyle w:val="ListParagraph"/>
        <w:numPr>
          <w:ilvl w:val="0"/>
          <w:numId w:val="3"/>
        </w:numPr>
        <w:spacing w:after="80"/>
      </w:pPr>
      <w:r>
        <w:rPr>
          <w:rFonts w:ascii="Calibri" w:cs="Calibri" w:eastAsia="Calibri" w:hAnsi="Calibri"/>
          <w:sz w:val="22"/>
          <w:szCs w:val="22"/>
        </w:rPr>
        <w:t xml:space="preserve">Convert each row to a list of items and one-hot encode with TransactionEncoder, giving a boolean matrix of cases by items.</w:t>
      </w:r>
    </w:p>
    <w:p>
      <w:pPr>
        <w:pStyle w:val="Heading2"/>
      </w:pPr>
      <w:r>
        <w:t xml:space="preserve">Step 8: Frequent Itemsets with Apriori</w:t>
      </w:r>
    </w:p>
    <w:p>
      <w:pPr>
        <w:spacing w:after="120" w:line="276"/>
      </w:pPr>
      <w:r>
        <w:rPr>
          <w:rFonts w:ascii="Calibri" w:cs="Calibri" w:eastAsia="Calibri" w:hAnsi="Calibri"/>
          <w:sz w:val="22"/>
          <w:szCs w:val="22"/>
        </w:rPr>
        <w:t xml:space="preserve">Apriori finds all item combinations that appear in at least 3% of baskets (min_support=0.03). It works bottom-up: it counts single items, keeps those above the threshold, joins them into pairs, and so on, pruning any combination whose subset is already infrequent. The result is sorted by support and given a length column.</w:t>
      </w:r>
    </w:p>
    <w:p>
      <w:pPr>
        <w:pBdr>
          <w:left w:val="single" w:color="2E75B6" w:sz="12" w:space="6"/>
        </w:pBdr>
        <w:shd w:fill="F4F4F4" w:val="clear"/>
        <w:spacing w:after="0" w:line="252"/>
        <w:ind w:left="160"/>
      </w:pPr>
      <w:r>
        <w:rPr>
          <w:rFonts w:ascii="Consolas" w:cs="Consolas" w:eastAsia="Consolas" w:hAnsi="Consolas"/>
          <w:sz w:val="19"/>
          <w:szCs w:val="19"/>
        </w:rPr>
        <w:t xml:space="preserve">frequent_itemsets = apriori(onehot_df, min_support=0.03, use_colnames=True)</w:t>
      </w:r>
    </w:p>
    <w:p>
      <w:pPr>
        <w:spacing w:after="100"/>
      </w:pPr>
    </w:p>
    <w:p>
      <w:pPr>
        <w:pStyle w:val="Heading2"/>
      </w:pPr>
      <w:r>
        <w:t xml:space="preserve">Step 9: Generate Association Rules</w:t>
      </w:r>
    </w:p>
    <w:p>
      <w:pPr>
        <w:spacing w:after="120" w:line="276"/>
      </w:pPr>
      <w:r>
        <w:rPr>
          <w:rFonts w:ascii="Calibri" w:cs="Calibri" w:eastAsia="Calibri" w:hAnsi="Calibri"/>
          <w:sz w:val="22"/>
          <w:szCs w:val="22"/>
        </w:rPr>
        <w:t xml:space="preserve">Rules of the form "if antecedent then consequent" are derived from the frequent itemsets and filtered to lift of at least 1.1. They are sorted by lift, and readable string versions of the antecedent and consequent are created. The notebook reports six scores for every rule.</w:t>
      </w:r>
    </w:p>
    <w:p>
      <w:pPr>
        <w:pBdr>
          <w:left w:val="single" w:color="2E75B6" w:sz="12" w:space="6"/>
        </w:pBdr>
        <w:shd w:fill="F4F4F4" w:val="clear"/>
        <w:spacing w:after="0" w:line="252"/>
        <w:ind w:left="160"/>
      </w:pPr>
      <w:r>
        <w:rPr>
          <w:rFonts w:ascii="Consolas" w:cs="Consolas" w:eastAsia="Consolas" w:hAnsi="Consolas"/>
          <w:sz w:val="19"/>
          <w:szCs w:val="19"/>
        </w:rPr>
        <w:t xml:space="preserve">rules = association_rules(frequent_itemsets, metric='lift', min_threshold=1.1)</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3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Definition</w:t>
            </w:r>
          </w:p>
        </w:tc>
        <w:tc>
          <w:tcPr>
            <w:tcW w:type="dxa" w:w="3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Interpretation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Support</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all cases containing the itemset</w:t>
            </w:r>
          </w:p>
        </w:tc>
        <w:tc>
          <w:tcPr>
            <w:tcW w:type="dxa" w:w="3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Higher means more common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Confidence</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P(consequent given antecedent)</w:t>
            </w:r>
          </w:p>
        </w:tc>
        <w:tc>
          <w:tcPr>
            <w:tcW w:type="dxa" w:w="3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Higher means a more reliable rule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Lift</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Confidence divided by consequent support</w:t>
            </w:r>
          </w:p>
        </w:tc>
        <w:tc>
          <w:tcPr>
            <w:tcW w:type="dxa" w:w="3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Above 1 positive, 1 independent, below 1 negative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Leverage</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Observed minus expected co-occurrence</w:t>
            </w:r>
          </w:p>
        </w:tc>
        <w:tc>
          <w:tcPr>
            <w:tcW w:type="dxa" w:w="3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 means independent</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Conviction</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Expected frequency of antecedent without consequent over observed</w:t>
            </w:r>
          </w:p>
        </w:tc>
        <w:tc>
          <w:tcPr>
            <w:tcW w:type="dxa" w:w="3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Higher means stronger implication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Zhang's metric</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Normalized association strength</w:t>
            </w:r>
          </w:p>
        </w:tc>
        <w:tc>
          <w:tcPr>
            <w:tcW w:type="dxa" w:w="3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Range -1 to 1; near 1 is strong positive</w:t>
            </w:r>
          </w:p>
        </w:tc>
      </w:tr>
    </w:tbl>
    <w:p>
      <w:pPr>
        <w:spacing w:after="160"/>
      </w:pPr>
    </w:p>
    <w:p>
      <w:pPr>
        <w:spacing w:after="120" w:line="276"/>
      </w:pPr>
      <w:r>
        <w:rPr>
          <w:rFonts w:ascii="Calibri" w:cs="Calibri" w:eastAsia="Calibri" w:hAnsi="Calibri"/>
          <w:sz w:val="22"/>
          <w:szCs w:val="22"/>
        </w:rPr>
        <w:t xml:space="preserve">A top-20 interpretation table with rounded scores and friendly column names (If, Then, Support, Confidence, Lift, Leverage, Conviction, Zhang's Metric) is then produced.</w:t>
      </w:r>
    </w:p>
    <w:p>
      <w:pPr>
        <w:pStyle w:val="Heading2"/>
      </w:pPr>
      <w:r>
        <w:t xml:space="preserve">Step 10: Association Rule Visualizations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26"/>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3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Visualization</w:t>
            </w:r>
          </w:p>
        </w:tc>
        <w:tc>
          <w:tcPr>
            <w:tcW w:type="dxa" w:w="4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8.1</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Scatter: support vs confidence, size and colour = lift</w:t>
            </w:r>
          </w:p>
        </w:tc>
        <w:tc>
          <w:tcPr>
            <w:tcW w:type="dxa" w:w="45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See the trade-off between frequency and reliability</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8.2</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 top 15 rules by lift</w:t>
            </w:r>
          </w:p>
        </w:tc>
        <w:tc>
          <w:tcPr>
            <w:tcW w:type="dxa" w:w="45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Identify the strongest associations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8.3</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Heatmap: correlation between rule metrics</w:t>
            </w:r>
          </w:p>
        </w:tc>
        <w:tc>
          <w:tcPr>
            <w:tcW w:type="dxa" w:w="45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Understand how the six scores relate</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8.4</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Network graph: top 12 rules</w:t>
            </w:r>
          </w:p>
        </w:tc>
        <w:tc>
          <w:tcPr>
            <w:tcW w:type="dxa" w:w="45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Show item-to-item relationships as a directed graph</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8.5</w:t>
            </w:r>
          </w:p>
        </w:tc>
        <w:tc>
          <w:tcPr>
            <w:tcW w:type="dxa" w:w="3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Histogram: lift distribution with line at 1</w:t>
            </w:r>
          </w:p>
        </w:tc>
        <w:tc>
          <w:tcPr>
            <w:tcW w:type="dxa" w:w="45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See how many rules are only weakly above chance</w:t>
            </w:r>
          </w:p>
        </w:tc>
      </w:tr>
    </w:tbl>
    <w:p>
      <w:pPr>
        <w:spacing w:after="160"/>
      </w:pPr>
    </w:p>
    <w:p>
      <w:pPr>
        <w:spacing w:after="120" w:line="276"/>
      </w:pPr>
      <w:r>
        <w:rPr>
          <w:rFonts w:ascii="Calibri" w:cs="Calibri" w:eastAsia="Calibri" w:hAnsi="Calibri"/>
          <w:sz w:val="22"/>
          <w:szCs w:val="22"/>
        </w:rPr>
        <w:t xml:space="preserve">A final cell prints VIZ_COUNT, which confirms the total number of visualizations generated by the notebook (27 in total: 22 EDA charts including the missing-value chart, and 5 rule charts).</w:t>
      </w:r>
    </w:p>
    <w:p>
      <w:pPr>
        <w:pStyle w:val="Heading2"/>
      </w:pPr>
      <w:r>
        <w:t xml:space="preserve">Step 11: Summary Statistics of Rule Metrics</w:t>
      </w:r>
    </w:p>
    <w:p>
      <w:pPr>
        <w:spacing w:after="120" w:line="276"/>
      </w:pPr>
      <w:r>
        <w:rPr>
          <w:rFonts w:ascii="Calibri" w:cs="Calibri" w:eastAsia="Calibri" w:hAnsi="Calibri"/>
          <w:sz w:val="22"/>
          <w:szCs w:val="22"/>
        </w:rPr>
        <w:t xml:space="preserve">describe() is run on the six rule metrics to give the count, mean, spread and quartiles for each, which helps judge whether the rule set is dominated by weak or strong associations.</w:t>
      </w:r>
    </w:p>
    <w:p>
      <w:pPr>
        <w:pStyle w:val="Heading2"/>
      </w:pPr>
      <w:r>
        <w:t xml:space="preserve">Step 12: Export the Final Dataset</w:t>
      </w:r>
    </w:p>
    <w:p>
      <w:pPr>
        <w:spacing w:after="120" w:line="276"/>
      </w:pPr>
      <w:r>
        <w:rPr>
          <w:rFonts w:ascii="Calibri" w:cs="Calibri" w:eastAsia="Calibri" w:hAnsi="Calibri"/>
          <w:sz w:val="22"/>
          <w:szCs w:val="22"/>
        </w:rPr>
        <w:t xml:space="preserve">The cleaned and merged dataset is saved as a gzip-compressed CSV, faers_2025_demo_merged.csv.gz, which keeps the file small enough to share and re-load directly with pandas.</w:t>
      </w:r>
    </w:p>
    <w:p>
      <w:pPr>
        <w:pBdr>
          <w:left w:val="single" w:color="2E75B6" w:sz="12" w:space="6"/>
        </w:pBdr>
        <w:shd w:fill="F4F4F4" w:val="clear"/>
        <w:spacing w:after="0" w:line="252"/>
        <w:ind w:left="160"/>
      </w:pPr>
      <w:r>
        <w:rPr>
          <w:rFonts w:ascii="Consolas" w:cs="Consolas" w:eastAsia="Consolas" w:hAnsi="Consolas"/>
          <w:sz w:val="19"/>
          <w:szCs w:val="19"/>
        </w:rPr>
        <w:t xml:space="preserve">merged_df.to_csv('faers_2025_demo_merged.csv.gz', index=False, compression='gzip')</w:t>
      </w:r>
    </w:p>
    <w:p>
      <w:pPr>
        <w:spacing w:after="100"/>
      </w:pPr>
    </w:p>
    <w:p>
      <w:pPr>
        <w:pStyle w:val="Heading1"/>
      </w:pPr>
      <w:r>
        <w:t xml:space="preserve">5. Results and Interpretation</w:t>
      </w:r>
    </w:p>
    <w:p>
      <w:pPr>
        <w:spacing w:after="120" w:line="276"/>
      </w:pPr>
      <w:r>
        <w:rPr>
          <w:rFonts w:ascii="Calibri" w:cs="Calibri" w:eastAsia="Calibri" w:hAnsi="Calibri"/>
          <w:sz w:val="22"/>
          <w:szCs w:val="22"/>
        </w:rPr>
        <w:t xml:space="preserve">The conclusions stated in the notebook are:</w:t>
      </w:r>
    </w:p>
    <w:p>
      <w:pPr>
        <w:pStyle w:val="ListParagraph"/>
        <w:numPr>
          <w:ilvl w:val="0"/>
          <w:numId w:val="2"/>
        </w:numPr>
        <w:spacing w:after="60"/>
      </w:pPr>
      <w:r>
        <w:rPr>
          <w:rFonts w:ascii="Calibri" w:cs="Calibri" w:eastAsia="Calibri" w:hAnsi="Calibri"/>
          <w:sz w:val="22"/>
          <w:szCs w:val="22"/>
        </w:rPr>
        <w:t xml:space="preserve">Two quarterly extracts of about 400K and 393K raw rows were cleaned, standardized and merged into a single dataset.</w:t>
      </w:r>
    </w:p>
    <w:p>
      <w:pPr>
        <w:pStyle w:val="ListParagraph"/>
        <w:numPr>
          <w:ilvl w:val="0"/>
          <w:numId w:val="2"/>
        </w:numPr>
        <w:spacing w:after="60"/>
      </w:pPr>
      <w:r>
        <w:rPr>
          <w:rFonts w:ascii="Calibri" w:cs="Calibri" w:eastAsia="Calibri" w:hAnsi="Calibri"/>
          <w:sz w:val="22"/>
          <w:szCs w:val="22"/>
        </w:rPr>
        <w:t xml:space="preserve">The typical profile is majority-female, adult-to-elderly, US-dominated, mostly electronically submitted, and largely filed as Expedited (EXP) or Periodic (PER) reports.</w:t>
      </w:r>
    </w:p>
    <w:p>
      <w:pPr>
        <w:pStyle w:val="ListParagraph"/>
        <w:numPr>
          <w:ilvl w:val="0"/>
          <w:numId w:val="2"/>
        </w:numPr>
        <w:spacing w:after="60"/>
      </w:pPr>
      <w:r>
        <w:rPr>
          <w:rFonts w:ascii="Calibri" w:cs="Calibri" w:eastAsia="Calibri" w:hAnsi="Calibri"/>
          <w:sz w:val="22"/>
          <w:szCs w:val="22"/>
        </w:rPr>
        <w:t xml:space="preserve">Association rules show strong, high-lift links between reporter occupation, report type and submission method.</w:t>
      </w:r>
    </w:p>
    <w:p>
      <w:pPr>
        <w:pStyle w:val="ListParagraph"/>
        <w:numPr>
          <w:ilvl w:val="0"/>
          <w:numId w:val="2"/>
        </w:numPr>
        <w:spacing w:after="60"/>
      </w:pPr>
      <w:r>
        <w:rPr>
          <w:rFonts w:ascii="Calibri" w:cs="Calibri" w:eastAsia="Calibri" w:hAnsi="Calibri"/>
          <w:sz w:val="22"/>
          <w:szCs w:val="22"/>
        </w:rPr>
        <w:t xml:space="preserve">The cleaned dataset is ready for further modelling such as signal detection with PRR or ROR, once combined with the FAERS drug and reaction tables.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2E75B6" w:sz="24"/>
              <w:bottom w:val="single" w:color="BFBFBF" w:sz="4"/>
              <w:right w:val="single" w:color="BFBFBF" w:sz="4"/>
            </w:tcBorders>
            <w:shd w:fill="EAF2FA" w:val="clear"/>
            <w:tcMar>
              <w:top w:type="dxa" w:w="100"/>
              <w:left w:type="dxa" w:w="160"/>
              <w:bottom w:type="dxa" w:w="100"/>
              <w:right w:type="dxa" w:w="160"/>
            </w:tcMar>
          </w:tcPr>
          <w:p>
            <w:pPr>
              <w:spacing w:after="40"/>
            </w:pPr>
            <w:r>
              <w:rPr>
                <w:rFonts w:ascii="Calibri" w:cs="Calibri" w:eastAsia="Calibri" w:hAnsi="Calibri"/>
                <w:b/>
                <w:bCs/>
                <w:color w:val="1F3864"/>
                <w:sz w:val="22"/>
                <w:szCs w:val="22"/>
              </w:rPr>
              <w:t xml:space="preserve">Reading rules correctly</w:t>
            </w:r>
          </w:p>
          <w:p>
            <w:r>
              <w:rPr>
                <w:rFonts w:ascii="Calibri" w:cs="Calibri" w:eastAsia="Calibri" w:hAnsi="Calibri"/>
                <w:sz w:val="22"/>
                <w:szCs w:val="22"/>
              </w:rPr>
              <w:t xml:space="preserve">A rule such as "rept_cod=EXP implies e_sub=Y" means those two report attributes appear together more often than chance. It does not mean one causes the other, and it says nothing about drug safety.</w:t>
            </w:r>
          </w:p>
        </w:tc>
      </w:tr>
    </w:tbl>
    <w:p>
      <w:pPr>
        <w:spacing w:after="160"/>
      </w:pPr>
    </w:p>
    <w:p>
      <w:pPr>
        <w:pStyle w:val="Heading1"/>
      </w:pPr>
      <w:r>
        <w:t xml:space="preserve">6. Limitations and Suggested Improvements</w:t>
      </w:r>
    </w:p>
    <w:p>
      <w:pPr>
        <w:pStyle w:val="Heading2"/>
      </w:pPr>
      <w:r>
        <w:t xml:space="preserve">6.1 Limitations</w:t>
      </w:r>
    </w:p>
    <w:p>
      <w:pPr>
        <w:pStyle w:val="ListParagraph"/>
        <w:numPr>
          <w:ilvl w:val="0"/>
          <w:numId w:val="2"/>
        </w:numPr>
        <w:spacing w:after="60"/>
      </w:pPr>
      <w:r>
        <w:rPr>
          <w:rFonts w:ascii="Calibri" w:cs="Calibri" w:eastAsia="Calibri" w:hAnsi="Calibri"/>
          <w:b/>
          <w:bCs/>
          <w:sz w:val="22"/>
          <w:szCs w:val="22"/>
        </w:rPr>
        <w:t xml:space="preserve">Reporting bias: </w:t>
      </w:r>
      <w:r>
        <w:rPr>
          <w:rFonts w:ascii="Calibri" w:cs="Calibri" w:eastAsia="Calibri" w:hAnsi="Calibri"/>
          <w:sz w:val="22"/>
          <w:szCs w:val="22"/>
        </w:rPr>
        <w:t xml:space="preserve">FAERS is built from spontaneous reports, so it cannot give incidence rates or prove causation.</w:t>
      </w:r>
    </w:p>
    <w:p>
      <w:pPr>
        <w:pStyle w:val="ListParagraph"/>
        <w:numPr>
          <w:ilvl w:val="0"/>
          <w:numId w:val="2"/>
        </w:numPr>
        <w:spacing w:after="60"/>
      </w:pPr>
      <w:r>
        <w:rPr>
          <w:rFonts w:ascii="Calibri" w:cs="Calibri" w:eastAsia="Calibri" w:hAnsi="Calibri"/>
          <w:b/>
          <w:bCs/>
          <w:sz w:val="22"/>
          <w:szCs w:val="22"/>
        </w:rPr>
        <w:t xml:space="preserve">Sampling: </w:t>
      </w:r>
      <w:r>
        <w:rPr>
          <w:rFonts w:ascii="Calibri" w:cs="Calibri" w:eastAsia="Calibri" w:hAnsi="Calibri"/>
          <w:sz w:val="22"/>
          <w:szCs w:val="22"/>
        </w:rPr>
        <w:t xml:space="preserve">rules are mined on a 60,000-case sample, so results may change slightly with another seed.</w:t>
      </w:r>
    </w:p>
    <w:p>
      <w:pPr>
        <w:pStyle w:val="ListParagraph"/>
        <w:numPr>
          <w:ilvl w:val="0"/>
          <w:numId w:val="2"/>
        </w:numPr>
        <w:spacing w:after="60"/>
      </w:pPr>
      <w:r>
        <w:rPr>
          <w:rFonts w:ascii="Calibri" w:cs="Calibri" w:eastAsia="Calibri" w:hAnsi="Calibri"/>
          <w:b/>
          <w:bCs/>
          <w:sz w:val="22"/>
          <w:szCs w:val="22"/>
        </w:rPr>
        <w:t xml:space="preserve">Scope: </w:t>
      </w:r>
      <w:r>
        <w:rPr>
          <w:rFonts w:ascii="Calibri" w:cs="Calibri" w:eastAsia="Calibri" w:hAnsi="Calibri"/>
          <w:sz w:val="22"/>
          <w:szCs w:val="22"/>
        </w:rPr>
        <w:t xml:space="preserve">only demographic and administrative fields are used, with no drug or reaction data.</w:t>
      </w:r>
    </w:p>
    <w:p>
      <w:pPr>
        <w:pStyle w:val="ListParagraph"/>
        <w:numPr>
          <w:ilvl w:val="0"/>
          <w:numId w:val="2"/>
        </w:numPr>
        <w:spacing w:after="60"/>
      </w:pPr>
      <w:r>
        <w:rPr>
          <w:rFonts w:ascii="Calibri" w:cs="Calibri" w:eastAsia="Calibri" w:hAnsi="Calibri"/>
          <w:b/>
          <w:bCs/>
          <w:sz w:val="22"/>
          <w:szCs w:val="22"/>
        </w:rPr>
        <w:t xml:space="preserve">Sparse fields: </w:t>
      </w:r>
      <w:r>
        <w:rPr>
          <w:rFonts w:ascii="Calibri" w:cs="Calibri" w:eastAsia="Calibri" w:hAnsi="Calibri"/>
          <w:sz w:val="22"/>
          <w:szCs w:val="22"/>
        </w:rPr>
        <w:t xml:space="preserve">weight, occupation and some manufacturer fields have substantial missing data.</w:t>
      </w:r>
    </w:p>
    <w:p>
      <w:pPr>
        <w:pStyle w:val="Heading2"/>
      </w:pPr>
      <w:r>
        <w:t xml:space="preserve">6.2 Technical Improvements Worth Making</w:t>
      </w:r>
    </w:p>
    <w:p>
      <w:pPr>
        <w:pStyle w:val="ListParagraph"/>
        <w:numPr>
          <w:ilvl w:val="0"/>
          <w:numId w:val="2"/>
        </w:numPr>
        <w:spacing w:after="60"/>
      </w:pPr>
      <w:r>
        <w:rPr>
          <w:rFonts w:ascii="Calibri" w:cs="Calibri" w:eastAsia="Calibri" w:hAnsi="Calibri"/>
          <w:b/>
          <w:bCs/>
          <w:sz w:val="22"/>
          <w:szCs w:val="22"/>
        </w:rPr>
        <w:t xml:space="preserve">Normalize age units: </w:t>
      </w:r>
      <w:r>
        <w:rPr>
          <w:rFonts w:ascii="Calibri" w:cs="Calibri" w:eastAsia="Calibri" w:hAnsi="Calibri"/>
          <w:sz w:val="22"/>
          <w:szCs w:val="22"/>
        </w:rPr>
        <w:t xml:space="preserve">the age column is recorded in the unit given by age_cod (years, months, days and so on), but the notebook clips and plots age as if it were all years. Converting to years first would make the age charts and the 122 cut-off accurate.</w:t>
      </w:r>
    </w:p>
    <w:p>
      <w:pPr>
        <w:pStyle w:val="ListParagraph"/>
        <w:numPr>
          <w:ilvl w:val="0"/>
          <w:numId w:val="2"/>
        </w:numPr>
        <w:spacing w:after="60"/>
      </w:pPr>
      <w:r>
        <w:rPr>
          <w:rFonts w:ascii="Calibri" w:cs="Calibri" w:eastAsia="Calibri" w:hAnsi="Calibri"/>
          <w:b/>
          <w:bCs/>
          <w:sz w:val="22"/>
          <w:szCs w:val="22"/>
        </w:rPr>
        <w:t xml:space="preserve">Normalize weight units: </w:t>
      </w:r>
      <w:r>
        <w:rPr>
          <w:rFonts w:ascii="Calibri" w:cs="Calibri" w:eastAsia="Calibri" w:hAnsi="Calibri"/>
          <w:sz w:val="22"/>
          <w:szCs w:val="22"/>
        </w:rPr>
        <w:t xml:space="preserve">wt_cod can be KG or LBS. The weight chart keeps only KG, but the 400 cut-off is applied to both units.</w:t>
      </w:r>
    </w:p>
    <w:p>
      <w:pPr>
        <w:pStyle w:val="ListParagraph"/>
        <w:numPr>
          <w:ilvl w:val="0"/>
          <w:numId w:val="2"/>
        </w:numPr>
        <w:spacing w:after="60"/>
      </w:pPr>
      <w:r>
        <w:rPr>
          <w:rFonts w:ascii="Calibri" w:cs="Calibri" w:eastAsia="Calibri" w:hAnsi="Calibri"/>
          <w:b/>
          <w:bCs/>
          <w:sz w:val="22"/>
          <w:szCs w:val="22"/>
        </w:rPr>
        <w:t xml:space="preserve">Parameterize file paths: </w:t>
      </w:r>
      <w:r>
        <w:rPr>
          <w:rFonts w:ascii="Calibri" w:cs="Calibri" w:eastAsia="Calibri" w:hAnsi="Calibri"/>
          <w:sz w:val="22"/>
          <w:szCs w:val="22"/>
        </w:rPr>
        <w:t xml:space="preserve">replace hard-coded file names with a DATA_DIR variable so the notebook runs from any folder.</w:t>
      </w:r>
    </w:p>
    <w:p>
      <w:pPr>
        <w:pStyle w:val="ListParagraph"/>
        <w:numPr>
          <w:ilvl w:val="0"/>
          <w:numId w:val="2"/>
        </w:numPr>
        <w:spacing w:after="60"/>
      </w:pPr>
      <w:r>
        <w:rPr>
          <w:rFonts w:ascii="Calibri" w:cs="Calibri" w:eastAsia="Calibri" w:hAnsi="Calibri"/>
          <w:b/>
          <w:bCs/>
          <w:sz w:val="22"/>
          <w:szCs w:val="22"/>
        </w:rPr>
        <w:t xml:space="preserve">Seaborn palette warnings: </w:t>
      </w:r>
      <w:r>
        <w:rPr>
          <w:rFonts w:ascii="Calibri" w:cs="Calibri" w:eastAsia="Calibri" w:hAnsi="Calibri"/>
          <w:sz w:val="22"/>
          <w:szCs w:val="22"/>
        </w:rPr>
        <w:t xml:space="preserve">newer seaborn versions warn when palette is used without hue. The notebook hides warnings, but setting hue and legend=False is the cleaner fix.</w:t>
      </w:r>
    </w:p>
    <w:p>
      <w:pPr>
        <w:pStyle w:val="ListParagraph"/>
        <w:numPr>
          <w:ilvl w:val="0"/>
          <w:numId w:val="2"/>
        </w:numPr>
        <w:spacing w:after="60"/>
      </w:pPr>
      <w:r>
        <w:rPr>
          <w:rFonts w:ascii="Calibri" w:cs="Calibri" w:eastAsia="Calibri" w:hAnsi="Calibri"/>
          <w:b/>
          <w:bCs/>
          <w:sz w:val="22"/>
          <w:szCs w:val="22"/>
        </w:rPr>
        <w:t xml:space="preserve">Reproducibility: </w:t>
      </w:r>
      <w:r>
        <w:rPr>
          <w:rFonts w:ascii="Calibri" w:cs="Calibri" w:eastAsia="Calibri" w:hAnsi="Calibri"/>
          <w:sz w:val="22"/>
          <w:szCs w:val="22"/>
        </w:rPr>
        <w:t xml:space="preserve">pin library versions in requirements.txt.</w:t>
      </w:r>
    </w:p>
    <w:p>
      <w:pPr>
        <w:pStyle w:val="Heading1"/>
      </w:pPr>
      <w:r>
        <w:t xml:space="preserve">7. Future Work</w:t>
      </w:r>
    </w:p>
    <w:p>
      <w:pPr>
        <w:pStyle w:val="ListParagraph"/>
        <w:numPr>
          <w:ilvl w:val="0"/>
          <w:numId w:val="2"/>
        </w:numPr>
        <w:spacing w:after="60"/>
      </w:pPr>
      <w:r>
        <w:rPr>
          <w:rFonts w:ascii="Calibri" w:cs="Calibri" w:eastAsia="Calibri" w:hAnsi="Calibri"/>
          <w:sz w:val="22"/>
          <w:szCs w:val="22"/>
        </w:rPr>
        <w:t xml:space="preserve">Join the DRUG and REAC tables to mine drug-reaction associations.</w:t>
      </w:r>
    </w:p>
    <w:p>
      <w:pPr>
        <w:pStyle w:val="ListParagraph"/>
        <w:numPr>
          <w:ilvl w:val="0"/>
          <w:numId w:val="2"/>
        </w:numPr>
        <w:spacing w:after="60"/>
      </w:pPr>
      <w:r>
        <w:rPr>
          <w:rFonts w:ascii="Calibri" w:cs="Calibri" w:eastAsia="Calibri" w:hAnsi="Calibri"/>
          <w:sz w:val="22"/>
          <w:szCs w:val="22"/>
        </w:rPr>
        <w:t xml:space="preserve">Apply disproportionality methods (PRR, ROR, Bayesian methods) for signal detection.</w:t>
      </w:r>
    </w:p>
    <w:p>
      <w:pPr>
        <w:pStyle w:val="ListParagraph"/>
        <w:numPr>
          <w:ilvl w:val="0"/>
          <w:numId w:val="2"/>
        </w:numPr>
        <w:spacing w:after="60"/>
      </w:pPr>
      <w:r>
        <w:rPr>
          <w:rFonts w:ascii="Calibri" w:cs="Calibri" w:eastAsia="Calibri" w:hAnsi="Calibri"/>
          <w:sz w:val="22"/>
          <w:szCs w:val="22"/>
        </w:rPr>
        <w:t xml:space="preserve">Add more quarters to study temporal trends.</w:t>
      </w:r>
    </w:p>
    <w:p>
      <w:pPr>
        <w:pStyle w:val="ListParagraph"/>
        <w:numPr>
          <w:ilvl w:val="0"/>
          <w:numId w:val="2"/>
        </w:numPr>
        <w:spacing w:after="60"/>
      </w:pPr>
      <w:r>
        <w:rPr>
          <w:rFonts w:ascii="Calibri" w:cs="Calibri" w:eastAsia="Calibri" w:hAnsi="Calibri"/>
          <w:sz w:val="22"/>
          <w:szCs w:val="22"/>
        </w:rPr>
        <w:t xml:space="preserve">Use FP-Growth to mine the full dataset instead of a sample.</w:t>
      </w:r>
    </w:p>
    <w:p>
      <w:pPr>
        <w:pStyle w:val="ListParagraph"/>
        <w:numPr>
          <w:ilvl w:val="0"/>
          <w:numId w:val="2"/>
        </w:numPr>
        <w:spacing w:after="60"/>
      </w:pPr>
      <w:r>
        <w:rPr>
          <w:rFonts w:ascii="Calibri" w:cs="Calibri" w:eastAsia="Calibri" w:hAnsi="Calibri"/>
          <w:sz w:val="22"/>
          <w:szCs w:val="22"/>
        </w:rPr>
        <w:t xml:space="preserve">Build an interactive dashboard in Streamlit or Power BI.</w:t>
      </w:r>
    </w:p>
    <w:p>
      <w:pPr>
        <w:pStyle w:val="Heading1"/>
      </w:pPr>
      <w:r>
        <w:t xml:space="preserve">8. Publishing the Project on GitHub</w:t>
      </w:r>
    </w:p>
    <w:p>
      <w:pPr>
        <w:pStyle w:val="Heading2"/>
      </w:pPr>
      <w:r>
        <w:t xml:space="preserve">8.1 Recommended Repository Structure</w:t>
      </w:r>
    </w:p>
    <w:p>
      <w:pPr>
        <w:pBdr>
          <w:left w:val="single" w:color="2E75B6" w:sz="12" w:space="6"/>
        </w:pBdr>
        <w:shd w:fill="F4F4F4" w:val="clear"/>
        <w:spacing w:after="0" w:line="252"/>
        <w:ind w:left="160"/>
      </w:pPr>
      <w:r>
        <w:rPr>
          <w:rFonts w:ascii="Consolas" w:cs="Consolas" w:eastAsia="Consolas" w:hAnsi="Consolas"/>
          <w:sz w:val="19"/>
          <w:szCs w:val="19"/>
        </w:rPr>
        <w:t xml:space="preserve">faers-eda-association-rules/</w:t>
      </w:r>
    </w:p>
    <w:p>
      <w:pPr>
        <w:pBdr>
          <w:left w:val="single" w:color="2E75B6" w:sz="12" w:space="6"/>
        </w:pBdr>
        <w:shd w:fill="F4F4F4" w:val="clear"/>
        <w:spacing w:after="0" w:line="252"/>
        <w:ind w:left="160"/>
      </w:pPr>
      <w:r>
        <w:rPr>
          <w:rFonts w:ascii="Consolas" w:cs="Consolas" w:eastAsia="Consolas" w:hAnsi="Consolas"/>
          <w:sz w:val="19"/>
          <w:szCs w:val="19"/>
        </w:rPr>
        <w:t xml:space="preserve">  data/                 raw CSVs (not committed)</w:t>
      </w:r>
    </w:p>
    <w:p>
      <w:pPr>
        <w:pBdr>
          <w:left w:val="single" w:color="2E75B6" w:sz="12" w:space="6"/>
        </w:pBdr>
        <w:shd w:fill="F4F4F4" w:val="clear"/>
        <w:spacing w:after="0" w:line="252"/>
        <w:ind w:left="160"/>
      </w:pPr>
      <w:r>
        <w:rPr>
          <w:rFonts w:ascii="Consolas" w:cs="Consolas" w:eastAsia="Consolas" w:hAnsi="Consolas"/>
          <w:sz w:val="19"/>
          <w:szCs w:val="19"/>
        </w:rPr>
        <w:t xml:space="preserve">  notebooks/            faers_eda_association_rules.ipynb</w:t>
      </w:r>
    </w:p>
    <w:p>
      <w:pPr>
        <w:pBdr>
          <w:left w:val="single" w:color="2E75B6" w:sz="12" w:space="6"/>
        </w:pBdr>
        <w:shd w:fill="F4F4F4" w:val="clear"/>
        <w:spacing w:after="0" w:line="252"/>
        <w:ind w:left="160"/>
      </w:pPr>
      <w:r>
        <w:rPr>
          <w:rFonts w:ascii="Consolas" w:cs="Consolas" w:eastAsia="Consolas" w:hAnsi="Consolas"/>
          <w:sz w:val="19"/>
          <w:szCs w:val="19"/>
        </w:rPr>
        <w:t xml:space="preserve">  output/               merged dataset (not committed)</w:t>
      </w:r>
    </w:p>
    <w:p>
      <w:pPr>
        <w:pBdr>
          <w:left w:val="single" w:color="2E75B6" w:sz="12" w:space="6"/>
        </w:pBdr>
        <w:shd w:fill="F4F4F4" w:val="clear"/>
        <w:spacing w:after="0" w:line="252"/>
        <w:ind w:left="160"/>
      </w:pPr>
      <w:r>
        <w:rPr>
          <w:rFonts w:ascii="Consolas" w:cs="Consolas" w:eastAsia="Consolas" w:hAnsi="Consolas"/>
          <w:sz w:val="19"/>
          <w:szCs w:val="19"/>
        </w:rPr>
        <w:t xml:space="preserve">  docs/                 this Word documentation</w:t>
      </w:r>
    </w:p>
    <w:p>
      <w:pPr>
        <w:pBdr>
          <w:left w:val="single" w:color="2E75B6" w:sz="12" w:space="6"/>
        </w:pBdr>
        <w:shd w:fill="F4F4F4" w:val="clear"/>
        <w:spacing w:after="0" w:line="252"/>
        <w:ind w:left="160"/>
      </w:pPr>
      <w:r>
        <w:rPr>
          <w:rFonts w:ascii="Consolas" w:cs="Consolas" w:eastAsia="Consolas" w:hAnsi="Consolas"/>
          <w:sz w:val="19"/>
          <w:szCs w:val="19"/>
        </w:rPr>
        <w:t xml:space="preserve">  images/               exported charts for the README</w:t>
      </w:r>
    </w:p>
    <w:p>
      <w:pPr>
        <w:pBdr>
          <w:left w:val="single" w:color="2E75B6" w:sz="12" w:space="6"/>
        </w:pBdr>
        <w:shd w:fill="F4F4F4" w:val="clear"/>
        <w:spacing w:after="0" w:line="252"/>
        <w:ind w:left="160"/>
      </w:pPr>
      <w:r>
        <w:rPr>
          <w:rFonts w:ascii="Consolas" w:cs="Consolas" w:eastAsia="Consolas" w:hAnsi="Consolas"/>
          <w:sz w:val="19"/>
          <w:szCs w:val="19"/>
        </w:rPr>
        <w:t xml:space="preserve">  requirements.txt</w:t>
      </w:r>
    </w:p>
    <w:p>
      <w:pPr>
        <w:pBdr>
          <w:left w:val="single" w:color="2E75B6" w:sz="12" w:space="6"/>
        </w:pBdr>
        <w:shd w:fill="F4F4F4" w:val="clear"/>
        <w:spacing w:after="0" w:line="252"/>
        <w:ind w:left="160"/>
      </w:pPr>
      <w:r>
        <w:rPr>
          <w:rFonts w:ascii="Consolas" w:cs="Consolas" w:eastAsia="Consolas" w:hAnsi="Consolas"/>
          <w:sz w:val="19"/>
          <w:szCs w:val="19"/>
        </w:rPr>
        <w:t xml:space="preserve">  .gitignore</w:t>
      </w:r>
    </w:p>
    <w:p>
      <w:pPr>
        <w:pBdr>
          <w:left w:val="single" w:color="2E75B6" w:sz="12" w:space="6"/>
        </w:pBdr>
        <w:shd w:fill="F4F4F4" w:val="clear"/>
        <w:spacing w:after="0" w:line="252"/>
        <w:ind w:left="160"/>
      </w:pPr>
      <w:r>
        <w:rPr>
          <w:rFonts w:ascii="Consolas" w:cs="Consolas" w:eastAsia="Consolas" w:hAnsi="Consolas"/>
          <w:sz w:val="19"/>
          <w:szCs w:val="19"/>
        </w:rPr>
        <w:t xml:space="preserve">  LICENSE</w:t>
      </w:r>
    </w:p>
    <w:p>
      <w:pPr>
        <w:pBdr>
          <w:left w:val="single" w:color="2E75B6" w:sz="12" w:space="6"/>
        </w:pBdr>
        <w:shd w:fill="F4F4F4" w:val="clear"/>
        <w:spacing w:after="0" w:line="252"/>
        <w:ind w:left="160"/>
      </w:pPr>
      <w:r>
        <w:rPr>
          <w:rFonts w:ascii="Consolas" w:cs="Consolas" w:eastAsia="Consolas" w:hAnsi="Consolas"/>
          <w:sz w:val="19"/>
          <w:szCs w:val="19"/>
        </w:rPr>
        <w:t xml:space="preserve">  README.md</w:t>
      </w:r>
    </w:p>
    <w:p>
      <w:pPr>
        <w:spacing w:after="100"/>
      </w:pPr>
    </w:p>
    <w:p>
      <w:pPr>
        <w:pStyle w:val="Heading2"/>
      </w:pPr>
      <w:r>
        <w:t xml:space="preserve">8.2 Step-by-Step Publishing Process</w:t>
      </w:r>
    </w:p>
    <w:p>
      <w:pPr>
        <w:pStyle w:val="ListParagraph"/>
        <w:numPr>
          <w:ilvl w:val="0"/>
          <w:numId w:val="4"/>
        </w:numPr>
        <w:spacing w:after="80"/>
      </w:pPr>
      <w:r>
        <w:rPr>
          <w:rFonts w:ascii="Calibri" w:cs="Calibri" w:eastAsia="Calibri" w:hAnsi="Calibri"/>
          <w:sz w:val="22"/>
          <w:szCs w:val="22"/>
        </w:rPr>
        <w:t xml:space="preserve">Create an empty repository on github.com (New repository). Name it faers-eda-association-rules, add a description, and leave it empty.</w:t>
      </w:r>
    </w:p>
    <w:p>
      <w:pPr>
        <w:pStyle w:val="ListParagraph"/>
        <w:numPr>
          <w:ilvl w:val="0"/>
          <w:numId w:val="4"/>
        </w:numPr>
        <w:spacing w:after="80"/>
      </w:pPr>
      <w:r>
        <w:rPr>
          <w:rFonts w:ascii="Calibri" w:cs="Calibri" w:eastAsia="Calibri" w:hAnsi="Calibri"/>
          <w:sz w:val="22"/>
          <w:szCs w:val="22"/>
        </w:rPr>
        <w:t xml:space="preserve">On your computer, create the folder structure above and place the notebook, README.md and this documentation in it.</w:t>
      </w:r>
    </w:p>
    <w:p>
      <w:pPr>
        <w:pStyle w:val="ListParagraph"/>
        <w:numPr>
          <w:ilvl w:val="0"/>
          <w:numId w:val="4"/>
        </w:numPr>
        <w:spacing w:after="80"/>
      </w:pPr>
      <w:r>
        <w:rPr>
          <w:rFonts w:ascii="Calibri" w:cs="Calibri" w:eastAsia="Calibri" w:hAnsi="Calibri"/>
          <w:sz w:val="22"/>
          <w:szCs w:val="22"/>
        </w:rPr>
        <w:t xml:space="preserve">Run the notebook once so it contains outputs, then save it. Visible charts make the repository far more convincing on GitHub.</w:t>
      </w:r>
    </w:p>
    <w:p>
      <w:pPr>
        <w:pStyle w:val="ListParagraph"/>
        <w:numPr>
          <w:ilvl w:val="0"/>
          <w:numId w:val="4"/>
        </w:numPr>
        <w:spacing w:after="80"/>
      </w:pPr>
      <w:r>
        <w:rPr>
          <w:rFonts w:ascii="Calibri" w:cs="Calibri" w:eastAsia="Calibri" w:hAnsi="Calibri"/>
          <w:sz w:val="22"/>
          <w:szCs w:val="22"/>
        </w:rPr>
        <w:t xml:space="preserve">Create requirements.txt with the libraries listed in Section 3.</w:t>
      </w:r>
    </w:p>
    <w:p>
      <w:pPr>
        <w:pStyle w:val="ListParagraph"/>
        <w:numPr>
          <w:ilvl w:val="0"/>
          <w:numId w:val="4"/>
        </w:numPr>
        <w:spacing w:after="80"/>
      </w:pPr>
      <w:r>
        <w:rPr>
          <w:rFonts w:ascii="Calibri" w:cs="Calibri" w:eastAsia="Calibri" w:hAnsi="Calibri"/>
          <w:sz w:val="22"/>
          <w:szCs w:val="22"/>
        </w:rPr>
        <w:t xml:space="preserve">Create a .gitignore so large data files are not uploaded (see below).</w:t>
      </w:r>
    </w:p>
    <w:p>
      <w:pPr>
        <w:pBdr>
          <w:left w:val="single" w:color="2E75B6" w:sz="12" w:space="6"/>
        </w:pBdr>
        <w:shd w:fill="F4F4F4" w:val="clear"/>
        <w:spacing w:after="0" w:line="252"/>
        <w:ind w:left="160"/>
      </w:pPr>
      <w:r>
        <w:rPr>
          <w:rFonts w:ascii="Consolas" w:cs="Consolas" w:eastAsia="Consolas" w:hAnsi="Consolas"/>
          <w:sz w:val="19"/>
          <w:szCs w:val="19"/>
        </w:rPr>
        <w:t xml:space="preserve">data/*.csv</w:t>
      </w:r>
    </w:p>
    <w:p>
      <w:pPr>
        <w:pBdr>
          <w:left w:val="single" w:color="2E75B6" w:sz="12" w:space="6"/>
        </w:pBdr>
        <w:shd w:fill="F4F4F4" w:val="clear"/>
        <w:spacing w:after="0" w:line="252"/>
        <w:ind w:left="160"/>
      </w:pPr>
      <w:r>
        <w:rPr>
          <w:rFonts w:ascii="Consolas" w:cs="Consolas" w:eastAsia="Consolas" w:hAnsi="Consolas"/>
          <w:sz w:val="19"/>
          <w:szCs w:val="19"/>
        </w:rPr>
        <w:t xml:space="preserve">data/*.txt</w:t>
      </w:r>
    </w:p>
    <w:p>
      <w:pPr>
        <w:pBdr>
          <w:left w:val="single" w:color="2E75B6" w:sz="12" w:space="6"/>
        </w:pBdr>
        <w:shd w:fill="F4F4F4" w:val="clear"/>
        <w:spacing w:after="0" w:line="252"/>
        <w:ind w:left="160"/>
      </w:pPr>
      <w:r>
        <w:rPr>
          <w:rFonts w:ascii="Consolas" w:cs="Consolas" w:eastAsia="Consolas" w:hAnsi="Consolas"/>
          <w:sz w:val="19"/>
          <w:szCs w:val="19"/>
        </w:rPr>
        <w:t xml:space="preserve">output/*.csv.gz</w:t>
      </w:r>
    </w:p>
    <w:p>
      <w:pPr>
        <w:pBdr>
          <w:left w:val="single" w:color="2E75B6" w:sz="12" w:space="6"/>
        </w:pBdr>
        <w:shd w:fill="F4F4F4" w:val="clear"/>
        <w:spacing w:after="0" w:line="252"/>
        <w:ind w:left="160"/>
      </w:pPr>
      <w:r>
        <w:rPr>
          <w:rFonts w:ascii="Consolas" w:cs="Consolas" w:eastAsia="Consolas" w:hAnsi="Consolas"/>
          <w:sz w:val="19"/>
          <w:szCs w:val="19"/>
        </w:rPr>
        <w:t xml:space="preserve">.ipynb_checkpoints/</w:t>
      </w:r>
    </w:p>
    <w:p>
      <w:pPr>
        <w:pBdr>
          <w:left w:val="single" w:color="2E75B6" w:sz="12" w:space="6"/>
        </w:pBdr>
        <w:shd w:fill="F4F4F4" w:val="clear"/>
        <w:spacing w:after="0" w:line="252"/>
        <w:ind w:left="160"/>
      </w:pPr>
      <w:r>
        <w:rPr>
          <w:rFonts w:ascii="Consolas" w:cs="Consolas" w:eastAsia="Consolas" w:hAnsi="Consolas"/>
          <w:sz w:val="19"/>
          <w:szCs w:val="19"/>
        </w:rPr>
        <w:t xml:space="preserve">__pycache__/</w:t>
      </w:r>
    </w:p>
    <w:p>
      <w:pPr>
        <w:pBdr>
          <w:left w:val="single" w:color="2E75B6" w:sz="12" w:space="6"/>
        </w:pBdr>
        <w:shd w:fill="F4F4F4" w:val="clear"/>
        <w:spacing w:after="0" w:line="252"/>
        <w:ind w:left="160"/>
      </w:pPr>
      <w:r>
        <w:rPr>
          <w:rFonts w:ascii="Consolas" w:cs="Consolas" w:eastAsia="Consolas" w:hAnsi="Consolas"/>
          <w:sz w:val="19"/>
          <w:szCs w:val="19"/>
        </w:rPr>
        <w:t xml:space="preserve">venv/</w:t>
      </w:r>
    </w:p>
    <w:p>
      <w:pPr>
        <w:spacing w:after="100"/>
      </w:pPr>
    </w:p>
    <w:p>
      <w:pPr>
        <w:pStyle w:val="ListParagraph"/>
        <w:numPr>
          <w:ilvl w:val="0"/>
          <w:numId w:val="4"/>
        </w:numPr>
        <w:spacing w:after="80"/>
      </w:pPr>
      <w:r>
        <w:rPr>
          <w:rFonts w:ascii="Calibri" w:cs="Calibri" w:eastAsia="Calibri" w:hAnsi="Calibri"/>
          <w:sz w:val="22"/>
          <w:szCs w:val="22"/>
        </w:rPr>
        <w:t xml:space="preserve">Initialize Git and make the first commit.</w:t>
      </w:r>
    </w:p>
    <w:p>
      <w:pPr>
        <w:pBdr>
          <w:left w:val="single" w:color="2E75B6" w:sz="12" w:space="6"/>
        </w:pBdr>
        <w:shd w:fill="F4F4F4" w:val="clear"/>
        <w:spacing w:after="0" w:line="252"/>
        <w:ind w:left="160"/>
      </w:pPr>
      <w:r>
        <w:rPr>
          <w:rFonts w:ascii="Consolas" w:cs="Consolas" w:eastAsia="Consolas" w:hAnsi="Consolas"/>
          <w:sz w:val="19"/>
          <w:szCs w:val="19"/>
        </w:rPr>
        <w:t xml:space="preserve">git init</w:t>
      </w:r>
    </w:p>
    <w:p>
      <w:pPr>
        <w:pBdr>
          <w:left w:val="single" w:color="2E75B6" w:sz="12" w:space="6"/>
        </w:pBdr>
        <w:shd w:fill="F4F4F4" w:val="clear"/>
        <w:spacing w:after="0" w:line="252"/>
        <w:ind w:left="160"/>
      </w:pPr>
      <w:r>
        <w:rPr>
          <w:rFonts w:ascii="Consolas" w:cs="Consolas" w:eastAsia="Consolas" w:hAnsi="Consolas"/>
          <w:sz w:val="19"/>
          <w:szCs w:val="19"/>
        </w:rPr>
        <w:t xml:space="preserve">git add .</w:t>
      </w:r>
    </w:p>
    <w:p>
      <w:pPr>
        <w:pBdr>
          <w:left w:val="single" w:color="2E75B6" w:sz="12" w:space="6"/>
        </w:pBdr>
        <w:shd w:fill="F4F4F4" w:val="clear"/>
        <w:spacing w:after="0" w:line="252"/>
        <w:ind w:left="160"/>
      </w:pPr>
      <w:r>
        <w:rPr>
          <w:rFonts w:ascii="Consolas" w:cs="Consolas" w:eastAsia="Consolas" w:hAnsi="Consolas"/>
          <w:sz w:val="19"/>
          <w:szCs w:val="19"/>
        </w:rPr>
        <w:t xml:space="preserve">git commit -m "Initial commit: FAERS EDA and association rule mining"</w:t>
      </w:r>
    </w:p>
    <w:p>
      <w:pPr>
        <w:spacing w:after="100"/>
      </w:pPr>
    </w:p>
    <w:p>
      <w:pPr>
        <w:pStyle w:val="ListParagraph"/>
        <w:numPr>
          <w:ilvl w:val="0"/>
          <w:numId w:val="4"/>
        </w:numPr>
        <w:spacing w:after="80"/>
      </w:pPr>
      <w:r>
        <w:rPr>
          <w:rFonts w:ascii="Calibri" w:cs="Calibri" w:eastAsia="Calibri" w:hAnsi="Calibri"/>
          <w:sz w:val="22"/>
          <w:szCs w:val="22"/>
        </w:rPr>
        <w:t xml:space="preserve">Connect to GitHub and push (replace the URL with your own).</w:t>
      </w:r>
    </w:p>
    <w:p>
      <w:pPr>
        <w:pBdr>
          <w:left w:val="single" w:color="2E75B6" w:sz="12" w:space="6"/>
        </w:pBdr>
        <w:shd w:fill="F4F4F4" w:val="clear"/>
        <w:spacing w:after="0" w:line="252"/>
        <w:ind w:left="160"/>
      </w:pPr>
      <w:r>
        <w:rPr>
          <w:rFonts w:ascii="Consolas" w:cs="Consolas" w:eastAsia="Consolas" w:hAnsi="Consolas"/>
          <w:sz w:val="19"/>
          <w:szCs w:val="19"/>
        </w:rPr>
        <w:t xml:space="preserve">git branch -M main</w:t>
      </w:r>
    </w:p>
    <w:p>
      <w:pPr>
        <w:pBdr>
          <w:left w:val="single" w:color="2E75B6" w:sz="12" w:space="6"/>
        </w:pBdr>
        <w:shd w:fill="F4F4F4" w:val="clear"/>
        <w:spacing w:after="0" w:line="252"/>
        <w:ind w:left="160"/>
      </w:pPr>
      <w:r>
        <w:rPr>
          <w:rFonts w:ascii="Consolas" w:cs="Consolas" w:eastAsia="Consolas" w:hAnsi="Consolas"/>
          <w:sz w:val="19"/>
          <w:szCs w:val="19"/>
        </w:rPr>
        <w:t xml:space="preserve">git remote add origin https://github.com/&lt;your-username&gt;/faers-eda-association-rules.git</w:t>
      </w:r>
    </w:p>
    <w:p>
      <w:pPr>
        <w:pBdr>
          <w:left w:val="single" w:color="2E75B6" w:sz="12" w:space="6"/>
        </w:pBdr>
        <w:shd w:fill="F4F4F4" w:val="clear"/>
        <w:spacing w:after="0" w:line="252"/>
        <w:ind w:left="160"/>
      </w:pPr>
      <w:r>
        <w:rPr>
          <w:rFonts w:ascii="Consolas" w:cs="Consolas" w:eastAsia="Consolas" w:hAnsi="Consolas"/>
          <w:sz w:val="19"/>
          <w:szCs w:val="19"/>
        </w:rPr>
        <w:t xml:space="preserve">git push -u origin main</w:t>
      </w:r>
    </w:p>
    <w:p>
      <w:pPr>
        <w:spacing w:after="100"/>
      </w:pPr>
    </w:p>
    <w:p>
      <w:pPr>
        <w:pStyle w:val="ListParagraph"/>
        <w:numPr>
          <w:ilvl w:val="0"/>
          <w:numId w:val="4"/>
        </w:numPr>
        <w:spacing w:after="80"/>
      </w:pPr>
      <w:r>
        <w:rPr>
          <w:rFonts w:ascii="Calibri" w:cs="Calibri" w:eastAsia="Calibri" w:hAnsi="Calibri"/>
          <w:sz w:val="22"/>
          <w:szCs w:val="22"/>
        </w:rPr>
        <w:t xml:space="preserve">Open the repository page, confirm the README renders, and check the notebook displays its charts.</w:t>
      </w:r>
    </w:p>
    <w:p>
      <w:pPr>
        <w:pStyle w:val="ListParagraph"/>
        <w:numPr>
          <w:ilvl w:val="0"/>
          <w:numId w:val="4"/>
        </w:numPr>
        <w:spacing w:after="80"/>
      </w:pPr>
      <w:r>
        <w:rPr>
          <w:rFonts w:ascii="Calibri" w:cs="Calibri" w:eastAsia="Calibri" w:hAnsi="Calibri"/>
          <w:sz w:val="22"/>
          <w:szCs w:val="22"/>
        </w:rPr>
        <w:t xml:space="preserve">Add topics (for example python, data-analysis, pharmacovigilance, apriori, faers) and a license from the Add file menu.</w:t>
      </w:r>
    </w:p>
    <w:p>
      <w:pPr>
        <w:pStyle w:val="Heading2"/>
      </w:pPr>
      <w:r>
        <w:t xml:space="preserve">8.3 Good Practice</w:t>
      </w:r>
    </w:p>
    <w:p>
      <w:pPr>
        <w:pStyle w:val="ListParagraph"/>
        <w:numPr>
          <w:ilvl w:val="0"/>
          <w:numId w:val="2"/>
        </w:numPr>
        <w:spacing w:after="60"/>
      </w:pPr>
      <w:r>
        <w:rPr>
          <w:rFonts w:ascii="Calibri" w:cs="Calibri" w:eastAsia="Calibri" w:hAnsi="Calibri"/>
          <w:sz w:val="22"/>
          <w:szCs w:val="22"/>
        </w:rPr>
        <w:t xml:space="preserve">Do not commit raw FAERS files; they are large. Link to the FDA download page instead.</w:t>
      </w:r>
    </w:p>
    <w:p>
      <w:pPr>
        <w:pStyle w:val="ListParagraph"/>
        <w:numPr>
          <w:ilvl w:val="0"/>
          <w:numId w:val="2"/>
        </w:numPr>
        <w:spacing w:after="60"/>
      </w:pPr>
      <w:r>
        <w:rPr>
          <w:rFonts w:ascii="Calibri" w:cs="Calibri" w:eastAsia="Calibri" w:hAnsi="Calibri"/>
          <w:sz w:val="22"/>
          <w:szCs w:val="22"/>
        </w:rPr>
        <w:t xml:space="preserve">If the notebook file is large because of embedded images, consider clearing outputs and committing exported PNGs in images/.</w:t>
      </w:r>
    </w:p>
    <w:p>
      <w:pPr>
        <w:pStyle w:val="ListParagraph"/>
        <w:numPr>
          <w:ilvl w:val="0"/>
          <w:numId w:val="2"/>
        </w:numPr>
        <w:spacing w:after="60"/>
      </w:pPr>
      <w:r>
        <w:rPr>
          <w:rFonts w:ascii="Calibri" w:cs="Calibri" w:eastAsia="Calibri" w:hAnsi="Calibri"/>
          <w:sz w:val="22"/>
          <w:szCs w:val="22"/>
        </w:rPr>
        <w:t xml:space="preserve">Use clear commit messages and tag a release (v1.0) when the project is final.</w:t>
      </w:r>
    </w:p>
    <w:p>
      <w:pPr>
        <w:pStyle w:val="Heading1"/>
      </w:pPr>
      <w:r>
        <w:t xml:space="preserve">9. Conclusion</w:t>
      </w:r>
    </w:p>
    <w:p>
      <w:pPr>
        <w:spacing w:after="120" w:line="276"/>
      </w:pPr>
      <w:r>
        <w:rPr>
          <w:rFonts w:ascii="Calibri" w:cs="Calibri" w:eastAsia="Calibri" w:hAnsi="Calibri"/>
          <w:sz w:val="22"/>
          <w:szCs w:val="22"/>
        </w:rPr>
        <w:t xml:space="preserve">This project turns two raw FAERS quarterly files into a clean, unified dataset, profiles it with a comprehensive set of visualizations, and applies Apriori to reveal how report attributes co-occur. The workflow is reproducible, documented step by step, and ready to extend into drug-reaction signal detection.</w:t>
      </w:r>
    </w:p>
    <w:p>
      <w:pPr>
        <w:pStyle w:val="Heading1"/>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Term</w:t>
            </w:r>
          </w:p>
        </w:tc>
        <w:tc>
          <w:tcPr>
            <w:tcW w:type="dxa" w:w="6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FAERS</w:t>
            </w:r>
          </w:p>
        </w:tc>
        <w:tc>
          <w:tcPr>
            <w:tcW w:type="dxa" w:w="6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FDA Adverse Event Reporting System</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DEMO</w:t>
            </w:r>
          </w:p>
        </w:tc>
        <w:tc>
          <w:tcPr>
            <w:tcW w:type="dxa" w:w="6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FAERS demographic table, one row per case version</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EDA</w:t>
            </w:r>
          </w:p>
        </w:tc>
        <w:tc>
          <w:tcPr>
            <w:tcW w:type="dxa" w:w="6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Exploratory data analysis</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Apriori</w:t>
            </w:r>
          </w:p>
        </w:tc>
        <w:tc>
          <w:tcPr>
            <w:tcW w:type="dxa" w:w="6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Algorithm that finds frequent itemsets by pruning combinations below a support threshold</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Itemset</w:t>
            </w:r>
          </w:p>
        </w:tc>
        <w:tc>
          <w:tcPr>
            <w:tcW w:type="dxa" w:w="6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 set of items (here, column=value pairs) that occur together</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EXP / PER / DIR</w:t>
            </w:r>
          </w:p>
        </w:tc>
        <w:tc>
          <w:tcPr>
            <w:tcW w:type="dxa" w:w="6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Expedited, periodic and direct report types</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PRR / ROR</w:t>
            </w:r>
          </w:p>
        </w:tc>
        <w:tc>
          <w:tcPr>
            <w:tcW w:type="dxa" w:w="6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Proportional Reporting Ratio and Reporting Odds Ratio, used in signal detection</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FAERS EDA &amp; Association Rule Mining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6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FAERS EDA and Association Rule Mining</dc:title>
  <dc:creator>Project Author</dc:creator>
  <cp:lastModifiedBy>Un-named</cp:lastModifiedBy>
  <cp:revision>1</cp:revision>
  <dcterms:created xsi:type="dcterms:W3CDTF">2026-10-02T20:00:19.402Z</dcterms:created>
  <dcterms:modified xsi:type="dcterms:W3CDTF">2026-10-02T20:00:19.403Z</dcterms:modified>
</cp:coreProperties>
</file>

<file path=docProps/custom.xml><?xml version="1.0" encoding="utf-8"?>
<Properties xmlns="http://schemas.openxmlformats.org/officeDocument/2006/custom-properties" xmlns:vt="http://schemas.openxmlformats.org/officeDocument/2006/docPropsVTypes"/>
</file>