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BDB" w:rsidRDefault="001F4C84">
      <w:pPr>
        <w:spacing w:after="60"/>
      </w:pPr>
      <w:r>
        <w:rPr>
          <w:b/>
          <w:bCs/>
          <w:color w:val="0B1D3A"/>
          <w:sz w:val="44"/>
          <w:szCs w:val="44"/>
        </w:rPr>
        <w:t>PCDC CASE STUDIO</w:t>
      </w:r>
    </w:p>
    <w:p w:rsidR="002F3BDB" w:rsidRDefault="001F4C84">
      <w:pPr>
        <w:spacing w:after="40"/>
      </w:pPr>
      <w:r>
        <w:rPr>
          <w:b/>
          <w:bCs/>
          <w:color w:val="C9A227"/>
          <w:sz w:val="30"/>
          <w:szCs w:val="30"/>
        </w:rPr>
        <w:t>Project Documentation</w:t>
      </w:r>
    </w:p>
    <w:p w:rsidR="002F3BDB" w:rsidRDefault="001F4C84">
      <w:pPr>
        <w:spacing w:after="400"/>
      </w:pPr>
      <w:r>
        <w:rPr>
          <w:i/>
          <w:iCs/>
          <w:color w:val="6B7280"/>
          <w:sz w:val="21"/>
          <w:szCs w:val="21"/>
        </w:rPr>
        <w:t>Prepared for the Project Manager — system overview, workflows, and change log.</w:t>
      </w:r>
    </w:p>
    <w:p w:rsidR="002F3BDB" w:rsidRDefault="001F4C84">
      <w:pPr>
        <w:pStyle w:val="Heading1"/>
        <w:pBdr>
          <w:bottom w:val="single" w:sz="6" w:space="4" w:color="C9A227"/>
        </w:pBdr>
        <w:spacing w:before="360" w:after="160"/>
      </w:pPr>
      <w:r>
        <w:rPr>
          <w:b/>
          <w:bCs/>
          <w:color w:val="0B1D3A"/>
          <w:sz w:val="30"/>
          <w:szCs w:val="30"/>
        </w:rPr>
        <w:t>1. Project Overview</w:t>
      </w:r>
    </w:p>
    <w:p w:rsidR="002F3BDB" w:rsidRDefault="001F4C84">
      <w:pPr>
        <w:spacing w:after="160" w:line="276" w:lineRule="auto"/>
      </w:pPr>
      <w:r>
        <w:rPr>
          <w:sz w:val="21"/>
          <w:szCs w:val="21"/>
        </w:rPr>
        <w:t xml:space="preserve">PCDC Case Studio is a web application used by the Prestige Capability Development Centre to run business-case-study simulations for MBA/PGDM students. Faculty author or reuse case studies, assign them to class sections, and students work through each case </w:t>
      </w:r>
      <w:r>
        <w:rPr>
          <w:sz w:val="21"/>
          <w:szCs w:val="21"/>
        </w:rPr>
        <w:t>in staged steps (briefing, analysis, an AI-moderated discussion, a rapid-fire round, and a final evaluation). Admins manage the academic structure (institutions, programs, specializations, batches, sections, subjects), onboard faculty and students, and pub</w:t>
      </w:r>
      <w:r>
        <w:rPr>
          <w:sz w:val="21"/>
          <w:szCs w:val="21"/>
        </w:rPr>
        <w:t>lish cases into the shared Case Bank so other faculty can reuse them.</w:t>
      </w:r>
    </w:p>
    <w:p w:rsidR="002F3BDB" w:rsidRDefault="001F4C84">
      <w:pPr>
        <w:spacing w:after="160" w:line="276" w:lineRule="auto"/>
      </w:pPr>
      <w:r>
        <w:rPr>
          <w:sz w:val="21"/>
          <w:szCs w:val="21"/>
        </w:rPr>
        <w:t>The product has three portals, one per role: Student, Faculty, and Admin. Each is covered in Section 4.</w:t>
      </w:r>
    </w:p>
    <w:p w:rsidR="002F3BDB" w:rsidRDefault="001F4C84">
      <w:pPr>
        <w:pStyle w:val="Heading1"/>
        <w:pBdr>
          <w:bottom w:val="single" w:sz="6" w:space="4" w:color="C9A227"/>
        </w:pBdr>
        <w:spacing w:before="360" w:after="160"/>
      </w:pPr>
      <w:r>
        <w:rPr>
          <w:b/>
          <w:bCs/>
          <w:color w:val="0B1D3A"/>
          <w:sz w:val="30"/>
          <w:szCs w:val="30"/>
        </w:rPr>
        <w:t>2. System Architecture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 + TypeScript, built with Vite, styled with </w:t>
      </w:r>
      <w:r>
        <w:rPr>
          <w:sz w:val="21"/>
          <w:szCs w:val="21"/>
        </w:rPr>
        <w:t>Tailwind CSS. Served as a static build via IIS.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>Python FastAPI application, served by Uvicorn, managed as a background process by PM2.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>PostgreSQL, hosted locally on the same server.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AI provider: </w:t>
      </w:r>
      <w:r>
        <w:rPr>
          <w:sz w:val="21"/>
          <w:szCs w:val="21"/>
        </w:rPr>
        <w:t>Google Gemini (primary) for generating cas</w:t>
      </w:r>
      <w:r>
        <w:rPr>
          <w:sz w:val="21"/>
          <w:szCs w:val="21"/>
        </w:rPr>
        <w:t>e content, rapid-fire questions, and evaluations, with OpenAI configured as an automatic fallback if Gemini is temporarily overloaded or times out.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Hosting / routing: </w:t>
      </w:r>
      <w:r>
        <w:rPr>
          <w:sz w:val="21"/>
          <w:szCs w:val="21"/>
        </w:rPr>
        <w:t xml:space="preserve">Windows Server with IIS using Application Request Routing (ARR) as a reverse proxy — the </w:t>
      </w:r>
      <w:r>
        <w:rPr>
          <w:sz w:val="21"/>
          <w:szCs w:val="21"/>
        </w:rPr>
        <w:t>frontend domain (pcdc.in) serves the built static site, and the backend domain (backend.pcdc.in) proxies to the local FastAPI process on port 8000.</w:t>
      </w:r>
    </w:p>
    <w:p w:rsidR="002F3BDB" w:rsidRDefault="002F3BDB">
      <w:pPr>
        <w:spacing w:after="160" w:line="276" w:lineRule="auto"/>
      </w:pPr>
    </w:p>
    <w:p w:rsidR="002F3BDB" w:rsidRDefault="001F4C84">
      <w:pPr>
        <w:spacing w:after="160" w:line="276" w:lineRule="auto"/>
      </w:pPr>
      <w:r>
        <w:rPr>
          <w:sz w:val="21"/>
          <w:szCs w:val="21"/>
        </w:rPr>
        <w:t>Both the frontend and backend currently run over plain HTTP (not HTTPS). This is a known, deliberate interi</w:t>
      </w:r>
      <w:r>
        <w:rPr>
          <w:sz w:val="21"/>
          <w:szCs w:val="21"/>
        </w:rPr>
        <w:t>m state rather than an oversight — worth flagging to the client if public launch is planned, since a few things (browser “Not secure” warnings, stricter CORS, cookie security flags) only fully resolve once HTTPS is added.</w:t>
      </w:r>
    </w:p>
    <w:p w:rsidR="002F3BDB" w:rsidRDefault="001F4C84">
      <w:pPr>
        <w:pStyle w:val="Heading1"/>
        <w:pBdr>
          <w:bottom w:val="single" w:sz="6" w:space="4" w:color="C9A227"/>
        </w:pBdr>
        <w:spacing w:before="360" w:after="160"/>
      </w:pPr>
      <w:r>
        <w:rPr>
          <w:b/>
          <w:bCs/>
          <w:color w:val="0B1D3A"/>
          <w:sz w:val="30"/>
          <w:szCs w:val="30"/>
        </w:rPr>
        <w:t>3. Deployment &amp; Operations</w:t>
      </w:r>
    </w:p>
    <w:p w:rsidR="002F3BDB" w:rsidRDefault="001F4C84">
      <w:pPr>
        <w:spacing w:after="160" w:line="276" w:lineRule="auto"/>
      </w:pPr>
      <w:r>
        <w:rPr>
          <w:sz w:val="21"/>
          <w:szCs w:val="21"/>
        </w:rPr>
        <w:t>Day-to-</w:t>
      </w:r>
      <w:r>
        <w:rPr>
          <w:sz w:val="21"/>
          <w:szCs w:val="21"/>
        </w:rPr>
        <w:t>day operational notes for whoever manages the server: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Restarting the backend: </w:t>
      </w:r>
      <w:r>
        <w:rPr>
          <w:sz w:val="21"/>
          <w:szCs w:val="21"/>
        </w:rPr>
        <w:t>pm2 restart pcdc-backend — required after any backend code change or .env change (add --update-env if environment variables changed).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Rebuilding the frontend: </w:t>
      </w:r>
      <w:r>
        <w:rPr>
          <w:sz w:val="21"/>
          <w:szCs w:val="21"/>
        </w:rPr>
        <w:t>npm run build insid</w:t>
      </w:r>
      <w:r>
        <w:rPr>
          <w:sz w:val="21"/>
          <w:szCs w:val="21"/>
        </w:rPr>
        <w:t>e the frontend/ folder, from the project root. IIS serves the built dist/ folder directly; no restart is needed for frontend changes, just a rebuild.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Database migrations: </w:t>
      </w:r>
      <w:r>
        <w:rPr>
          <w:sz w:val="21"/>
          <w:szCs w:val="21"/>
        </w:rPr>
        <w:t xml:space="preserve">Managed with Alembic (python -m alembic upgrade head from the backend/ folder) — run </w:t>
      </w:r>
      <w:r>
        <w:rPr>
          <w:sz w:val="21"/>
          <w:szCs w:val="21"/>
        </w:rPr>
        <w:t>this after pulling in any change that includes a new migration file.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Checking the backend is healthy: </w:t>
      </w:r>
      <w:r>
        <w:rPr>
          <w:sz w:val="21"/>
          <w:szCs w:val="21"/>
        </w:rPr>
        <w:t>pm2 list shows process status; pm2 logs pcdc-backend shows recent output.</w:t>
      </w:r>
    </w:p>
    <w:p w:rsidR="002F3BDB" w:rsidRDefault="001F4C84">
      <w:pPr>
        <w:pStyle w:val="Heading1"/>
        <w:pBdr>
          <w:bottom w:val="single" w:sz="6" w:space="4" w:color="C9A227"/>
        </w:pBdr>
        <w:spacing w:before="360" w:after="160"/>
      </w:pPr>
      <w:r>
        <w:rPr>
          <w:b/>
          <w:bCs/>
          <w:color w:val="0B1D3A"/>
          <w:sz w:val="30"/>
          <w:szCs w:val="30"/>
        </w:rPr>
        <w:lastRenderedPageBreak/>
        <w:t>4. User Roles &amp; Portals</w:t>
      </w:r>
    </w:p>
    <w:p w:rsidR="002F3BDB" w:rsidRDefault="001F4C84">
      <w:pPr>
        <w:pStyle w:val="Heading2"/>
        <w:spacing w:before="280" w:after="120"/>
      </w:pPr>
      <w:r>
        <w:rPr>
          <w:b/>
          <w:bCs/>
          <w:color w:val="0B1D3A"/>
          <w:sz w:val="24"/>
          <w:szCs w:val="24"/>
        </w:rPr>
        <w:t>4.1 Student Portal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Dashboard: active case count, capabil</w:t>
      </w:r>
      <w:r>
        <w:rPr>
          <w:sz w:val="21"/>
          <w:szCs w:val="21"/>
        </w:rPr>
        <w:t>ity scores, upcoming mentor sessions, recent evaluations.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My Case Studies: list of assigned cases, with a 4-stage attempt flow — Briefing, Analysis, Rapid Fire, Evaluation.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Capability Profile, Achievements, Career Pathway, AI Coaches: supporting features tied to the student's progress and scores.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Copy/paste, right-click, and text selection are disabled throughout the student portal (anti-cheating measure).</w:t>
      </w:r>
    </w:p>
    <w:p w:rsidR="002F3BDB" w:rsidRDefault="001F4C84">
      <w:pPr>
        <w:pStyle w:val="Heading2"/>
        <w:spacing w:before="280" w:after="120"/>
      </w:pPr>
      <w:r>
        <w:rPr>
          <w:b/>
          <w:bCs/>
          <w:color w:val="0B1D3A"/>
          <w:sz w:val="24"/>
          <w:szCs w:val="24"/>
        </w:rPr>
        <w:t>4.2 Faculty Portal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Onboarding: faculty select which sections and subjects they teach (“My Teaching”); this drives everything else they can see.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Case Builder: faculty can author a new case study (AI-assisted or from scratch). Once created, faculty cannot edit it further — onl</w:t>
      </w:r>
      <w:r>
        <w:rPr>
          <w:sz w:val="21"/>
          <w:szCs w:val="21"/>
        </w:rPr>
        <w:t>y an admin can edit and publish it.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Case Bank: a shared library of already-published cases from every faculty member; any faculty can assign an existing case straight to one of their own classes. Deleting an entry is admin-only.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 xml:space="preserve">My Case Library: cases the </w:t>
      </w:r>
      <w:r>
        <w:rPr>
          <w:sz w:val="21"/>
          <w:szCs w:val="21"/>
        </w:rPr>
        <w:t>faculty personally authored, with student attempt tracking.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Reports: published cases assigned to the faculty's own sections, filterable by Section and Subject, with a per-student results drill-down and CSV/PDF export.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Students: add students individually or via bulk CSV import into a section.</w:t>
      </w:r>
    </w:p>
    <w:p w:rsidR="002F3BDB" w:rsidRDefault="001F4C84">
      <w:pPr>
        <w:pStyle w:val="Heading2"/>
        <w:spacing w:before="280" w:after="120"/>
      </w:pPr>
      <w:r>
        <w:rPr>
          <w:b/>
          <w:bCs/>
          <w:color w:val="0B1D3A"/>
          <w:sz w:val="24"/>
          <w:szCs w:val="24"/>
        </w:rPr>
        <w:t>4.3 Admin Portal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Academic Setup: configure Institutions, Programs, Specializations, Batches, Semesters, Sections, and Subjects — the structure everything else hangs off.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People: man</w:t>
      </w:r>
      <w:r>
        <w:rPr>
          <w:sz w:val="21"/>
          <w:szCs w:val="21"/>
        </w:rPr>
        <w:t>age all Users (students, faculty, admins), Faculty (invite, assign scope), and bulk student import into any section, with validation against the section's actual Program/Semester.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Cases: review and publish faculty-submitted cases, manage the Case Bank.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Ins</w:t>
      </w:r>
      <w:r>
        <w:rPr>
          <w:sz w:val="21"/>
          <w:szCs w:val="21"/>
        </w:rPr>
        <w:t>ights: cohort-level analytics across the institution.</w:t>
      </w:r>
    </w:p>
    <w:p w:rsidR="002F3BDB" w:rsidRDefault="001F4C84">
      <w:pPr>
        <w:pStyle w:val="Heading1"/>
        <w:pBdr>
          <w:bottom w:val="single" w:sz="6" w:space="4" w:color="C9A227"/>
        </w:pBdr>
        <w:spacing w:before="360" w:after="160"/>
      </w:pPr>
      <w:r>
        <w:rPr>
          <w:b/>
          <w:bCs/>
          <w:color w:val="0B1D3A"/>
          <w:sz w:val="30"/>
          <w:szCs w:val="30"/>
        </w:rPr>
        <w:t>5. Academic Data Structure</w:t>
      </w:r>
    </w:p>
    <w:p w:rsidR="002F3BDB" w:rsidRDefault="001F4C84">
      <w:pPr>
        <w:spacing w:after="160" w:line="276" w:lineRule="auto"/>
      </w:pPr>
      <w:r>
        <w:rPr>
          <w:sz w:val="21"/>
          <w:szCs w:val="21"/>
        </w:rPr>
        <w:t>Everything in the system — which subjects a faculty member teaches, which cases a student is assigned, which reports an admin can filter by — hangs off one hierarchy, configur</w:t>
      </w:r>
      <w:r>
        <w:rPr>
          <w:sz w:val="21"/>
          <w:szCs w:val="21"/>
        </w:rPr>
        <w:t>ed by an admin: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5200"/>
      </w:tblGrid>
      <w:tr w:rsidR="002F3B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B1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500" w:type="dxa"/>
            <w:shd w:val="clear" w:color="auto" w:fill="0B1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200" w:type="dxa"/>
            <w:shd w:val="clear" w:color="auto" w:fill="0B1D3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b/>
                <w:bCs/>
                <w:color w:val="FFFFFF"/>
              </w:rPr>
              <w:t>Notes</w:t>
            </w:r>
          </w:p>
        </w:tc>
      </w:tr>
      <w:tr w:rsidR="002F3B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Institution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PIBM, PIMR PG, PIMR UG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The college/campus. Departments belong to exactly one institution.</w:t>
            </w:r>
          </w:p>
        </w:tc>
      </w:tr>
      <w:tr w:rsidR="002F3B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Program</w:t>
            </w:r>
          </w:p>
        </w:tc>
        <w:tc>
          <w:tcPr>
            <w:tcW w:w="25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e.g. Master of Business Administration</w:t>
            </w:r>
          </w:p>
        </w:tc>
        <w:tc>
          <w:tcPr>
            <w:tcW w:w="52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Renamed from “Department”. Sits under one institution.</w:t>
            </w:r>
          </w:p>
        </w:tc>
      </w:tr>
      <w:tr w:rsidR="002F3B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lastRenderedPageBreak/>
              <w:t>Specialization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e.g. MBA, PGDM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Renamed from “Course”. Sits under one Program.</w:t>
            </w:r>
          </w:p>
        </w:tc>
      </w:tr>
      <w:tr w:rsidR="002F3B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Batch</w:t>
            </w:r>
          </w:p>
        </w:tc>
        <w:tc>
          <w:tcPr>
            <w:tcW w:w="25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e.g. 2024-2026</w:t>
            </w:r>
          </w:p>
        </w:tc>
        <w:tc>
          <w:tcPr>
            <w:tcW w:w="52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An admission-year cohort under a Specialization.</w:t>
            </w:r>
          </w:p>
        </w:tc>
      </w:tr>
      <w:tr w:rsidR="002F3B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Semester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1 through 6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Under a Specialization.</w:t>
            </w:r>
          </w:p>
        </w:tc>
      </w:tr>
      <w:tr w:rsidR="002F3B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Section</w:t>
            </w:r>
          </w:p>
        </w:tc>
        <w:tc>
          <w:tcPr>
            <w:tcW w:w="25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e.g. A, B, F</w:t>
            </w:r>
          </w:p>
        </w:tc>
        <w:tc>
          <w:tcPr>
            <w:tcW w:w="5200" w:type="dxa"/>
            <w:shd w:val="clear" w:color="auto" w:fill="F6F7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A class group under a Semester + Batch; students and faculty are both tied to a Section.</w:t>
            </w:r>
          </w:p>
        </w:tc>
      </w:tr>
      <w:tr w:rsidR="002F3B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Subject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e.g. Research Methodology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3BDB" w:rsidRDefault="001F4C84">
            <w:r>
              <w:rPr>
                <w:color w:val="111827"/>
              </w:rPr>
              <w:t>Tied to a Semester; this is what a faculty member is assigned to teach.</w:t>
            </w:r>
          </w:p>
        </w:tc>
      </w:tr>
    </w:tbl>
    <w:p w:rsidR="002F3BDB" w:rsidRDefault="002F3BDB">
      <w:pPr>
        <w:spacing w:after="160" w:line="276" w:lineRule="auto"/>
      </w:pPr>
    </w:p>
    <w:p w:rsidR="002F3BDB" w:rsidRDefault="001F4C84">
      <w:pPr>
        <w:spacing w:after="160" w:line="276" w:lineRule="auto"/>
      </w:pPr>
      <w:r>
        <w:rPr>
          <w:sz w:val="21"/>
          <w:szCs w:val="21"/>
        </w:rPr>
        <w:t>Separately, a faculty member is invited with a scope (one or more Institutions/Programs they're allowed to pick from), and then self-selects the exact Section + Subject pairs they teach under “My Teaching.” A faculty member only ever sees data (cases, repo</w:t>
      </w:r>
      <w:r>
        <w:rPr>
          <w:sz w:val="21"/>
          <w:szCs w:val="21"/>
        </w:rPr>
        <w:t>rts, students) for their own sections — never another faculty's section, even for a case they share from the Case Bank.</w:t>
      </w:r>
    </w:p>
    <w:p w:rsidR="002F3BDB" w:rsidRDefault="001F4C84">
      <w:pPr>
        <w:pStyle w:val="Heading1"/>
        <w:pBdr>
          <w:bottom w:val="single" w:sz="6" w:space="4" w:color="C9A227"/>
        </w:pBdr>
        <w:spacing w:before="360" w:after="160"/>
      </w:pPr>
      <w:r>
        <w:rPr>
          <w:b/>
          <w:bCs/>
          <w:color w:val="0B1D3A"/>
          <w:sz w:val="30"/>
          <w:szCs w:val="30"/>
        </w:rPr>
        <w:t>6. Case Study Lifecycle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1. Authoring: </w:t>
      </w:r>
      <w:r>
        <w:rPr>
          <w:sz w:val="21"/>
          <w:szCs w:val="21"/>
        </w:rPr>
        <w:t>A faculty member creates a case (AI-assisted from a brief, or fully from scratch), choosing Specia</w:t>
      </w:r>
      <w:r>
        <w:rPr>
          <w:sz w:val="21"/>
          <w:szCs w:val="21"/>
        </w:rPr>
        <w:t>lization, Subject, Semester, Difficulty, and target capabilities.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2. Admin review &amp; publish: </w:t>
      </w:r>
      <w:r>
        <w:rPr>
          <w:sz w:val="21"/>
          <w:szCs w:val="21"/>
        </w:rPr>
        <w:t>An admin reviews the generated case (content, questions, rubric) and publishes it. Only an admin can edit a case after creation.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3. Assignment: </w:t>
      </w:r>
      <w:r>
        <w:rPr>
          <w:sz w:val="21"/>
          <w:szCs w:val="21"/>
        </w:rPr>
        <w:t>A published case is assigned to one or more class sections — either as a whole-section assignment or to specific students.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4. Student attempt (4 stages): </w:t>
      </w:r>
      <w:r>
        <w:rPr>
          <w:sz w:val="21"/>
          <w:szCs w:val="21"/>
        </w:rPr>
        <w:t xml:space="preserve">Briefing (read the case) → Analysis (written response) → Rapid Fire (AI-generated short-answer round, </w:t>
      </w:r>
      <w:r>
        <w:rPr>
          <w:sz w:val="21"/>
          <w:szCs w:val="21"/>
        </w:rPr>
        <w:t>timed) → Evaluation (AI-scored against the rubric, with a grade and capability-score impact).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5. Reporting: </w:t>
      </w:r>
      <w:r>
        <w:rPr>
          <w:sz w:val="21"/>
          <w:szCs w:val="21"/>
        </w:rPr>
        <w:t>Faculty and admins can see completion and score reports per section/case/student.</w:t>
      </w:r>
    </w:p>
    <w:p w:rsidR="002F3BDB" w:rsidRDefault="001F4C84">
      <w:pPr>
        <w:pStyle w:val="Heading1"/>
        <w:pBdr>
          <w:bottom w:val="single" w:sz="6" w:space="4" w:color="C9A227"/>
        </w:pBdr>
        <w:spacing w:before="360" w:after="160"/>
      </w:pPr>
      <w:r>
        <w:rPr>
          <w:b/>
          <w:bCs/>
          <w:color w:val="0B1D3A"/>
          <w:sz w:val="30"/>
          <w:szCs w:val="30"/>
        </w:rPr>
        <w:t>7</w:t>
      </w:r>
      <w:bookmarkStart w:id="0" w:name="_GoBack"/>
      <w:bookmarkEnd w:id="0"/>
      <w:r>
        <w:rPr>
          <w:b/>
          <w:bCs/>
          <w:color w:val="0B1D3A"/>
          <w:sz w:val="30"/>
          <w:szCs w:val="30"/>
        </w:rPr>
        <w:t>. Glossary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Case Bank: </w:t>
      </w:r>
      <w:r>
        <w:rPr>
          <w:sz w:val="21"/>
          <w:szCs w:val="21"/>
        </w:rPr>
        <w:t>The shared library of every published case study, visible to all faculty, so cases can be reused rather than re-authored.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Case </w:t>
      </w:r>
      <w:r>
        <w:rPr>
          <w:b/>
          <w:bCs/>
          <w:sz w:val="21"/>
          <w:szCs w:val="21"/>
        </w:rPr>
        <w:t xml:space="preserve">Library: </w:t>
      </w:r>
      <w:r>
        <w:rPr>
          <w:sz w:val="21"/>
          <w:szCs w:val="21"/>
        </w:rPr>
        <w:t>A faculty member's own authored cases (as opposed to cases pulled from the Case Bank).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Rapid Fire: </w:t>
      </w:r>
      <w:r>
        <w:rPr>
          <w:sz w:val="21"/>
          <w:szCs w:val="21"/>
        </w:rPr>
        <w:t>A timed round of short, AI-generated factual questions a student answers after their written analysis.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Capability Score: </w:t>
      </w:r>
      <w:r>
        <w:rPr>
          <w:sz w:val="21"/>
          <w:szCs w:val="21"/>
        </w:rPr>
        <w:t>A per-student score tracked across categories (e.g. Decision Making, Business Acumen) that accumulates from evaluated case attempts.</w:t>
      </w:r>
    </w:p>
    <w:p w:rsidR="002F3BDB" w:rsidRDefault="001F4C8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sz w:val="21"/>
          <w:szCs w:val="21"/>
        </w:rPr>
        <w:t xml:space="preserve">Faculty Scope: </w:t>
      </w:r>
      <w:r>
        <w:rPr>
          <w:sz w:val="21"/>
          <w:szCs w:val="21"/>
        </w:rPr>
        <w:t>The set of institutions/programs an admin allows a given faculty member to pick sections/subjects from durin</w:t>
      </w:r>
      <w:r>
        <w:rPr>
          <w:sz w:val="21"/>
          <w:szCs w:val="21"/>
        </w:rPr>
        <w:t>g onboarding.</w:t>
      </w:r>
    </w:p>
    <w:sectPr w:rsidR="002F3BDB"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C7332"/>
    <w:multiLevelType w:val="hybridMultilevel"/>
    <w:tmpl w:val="1778D47C"/>
    <w:lvl w:ilvl="0" w:tplc="339E9ECC">
      <w:start w:val="1"/>
      <w:numFmt w:val="bullet"/>
      <w:lvlText w:val="•"/>
      <w:lvlJc w:val="left"/>
      <w:pPr>
        <w:ind w:left="420" w:hanging="260"/>
      </w:pPr>
    </w:lvl>
    <w:lvl w:ilvl="1" w:tplc="8EFE1F5A" w:tentative="1">
      <w:start w:val="1"/>
      <w:numFmt w:val="bullet"/>
      <w:lvlText w:val="–"/>
      <w:lvlJc w:val="left"/>
      <w:pPr>
        <w:ind w:left="840" w:hanging="260"/>
      </w:pPr>
    </w:lvl>
    <w:lvl w:ilvl="2" w:tplc="10BC82DE">
      <w:numFmt w:val="decimal"/>
      <w:lvlText w:val=""/>
      <w:lvlJc w:val="left"/>
    </w:lvl>
    <w:lvl w:ilvl="3" w:tplc="107CC524">
      <w:numFmt w:val="decimal"/>
      <w:lvlText w:val=""/>
      <w:lvlJc w:val="left"/>
    </w:lvl>
    <w:lvl w:ilvl="4" w:tplc="980CAA92">
      <w:numFmt w:val="decimal"/>
      <w:lvlText w:val=""/>
      <w:lvlJc w:val="left"/>
    </w:lvl>
    <w:lvl w:ilvl="5" w:tplc="446E8604">
      <w:numFmt w:val="decimal"/>
      <w:lvlText w:val=""/>
      <w:lvlJc w:val="left"/>
    </w:lvl>
    <w:lvl w:ilvl="6" w:tplc="B15CA2F2">
      <w:numFmt w:val="decimal"/>
      <w:lvlText w:val=""/>
      <w:lvlJc w:val="left"/>
    </w:lvl>
    <w:lvl w:ilvl="7" w:tplc="B1826204">
      <w:numFmt w:val="decimal"/>
      <w:lvlText w:val=""/>
      <w:lvlJc w:val="left"/>
    </w:lvl>
    <w:lvl w:ilvl="8" w:tplc="A3CEA07E">
      <w:numFmt w:val="decimal"/>
      <w:lvlText w:val=""/>
      <w:lvlJc w:val="left"/>
    </w:lvl>
  </w:abstractNum>
  <w:abstractNum w:abstractNumId="1" w15:restartNumberingAfterBreak="0">
    <w:nsid w:val="65CA33EA"/>
    <w:multiLevelType w:val="hybridMultilevel"/>
    <w:tmpl w:val="C5B89B44"/>
    <w:lvl w:ilvl="0" w:tplc="29EEE85C" w:tentative="1">
      <w:start w:val="1"/>
      <w:numFmt w:val="bullet"/>
      <w:lvlText w:val="●"/>
      <w:lvlJc w:val="left"/>
      <w:pPr>
        <w:ind w:left="720" w:hanging="360"/>
      </w:pPr>
    </w:lvl>
    <w:lvl w:ilvl="1" w:tplc="CE96E5D2" w:tentative="1">
      <w:start w:val="1"/>
      <w:numFmt w:val="bullet"/>
      <w:lvlText w:val="○"/>
      <w:lvlJc w:val="left"/>
      <w:pPr>
        <w:ind w:left="1440" w:hanging="360"/>
      </w:pPr>
    </w:lvl>
    <w:lvl w:ilvl="2" w:tplc="4614FB44" w:tentative="1">
      <w:start w:val="1"/>
      <w:numFmt w:val="bullet"/>
      <w:lvlText w:val="■"/>
      <w:lvlJc w:val="left"/>
      <w:pPr>
        <w:ind w:left="2160" w:hanging="360"/>
      </w:pPr>
    </w:lvl>
    <w:lvl w:ilvl="3" w:tplc="1E40F618" w:tentative="1">
      <w:start w:val="1"/>
      <w:numFmt w:val="bullet"/>
      <w:lvlText w:val="●"/>
      <w:lvlJc w:val="left"/>
      <w:pPr>
        <w:ind w:left="2880" w:hanging="360"/>
      </w:pPr>
    </w:lvl>
    <w:lvl w:ilvl="4" w:tplc="B170BB24" w:tentative="1">
      <w:start w:val="1"/>
      <w:numFmt w:val="bullet"/>
      <w:lvlText w:val="○"/>
      <w:lvlJc w:val="left"/>
      <w:pPr>
        <w:ind w:left="3600" w:hanging="360"/>
      </w:pPr>
    </w:lvl>
    <w:lvl w:ilvl="5" w:tplc="D40E939A" w:tentative="1">
      <w:start w:val="1"/>
      <w:numFmt w:val="bullet"/>
      <w:lvlText w:val="■"/>
      <w:lvlJc w:val="left"/>
      <w:pPr>
        <w:ind w:left="4320" w:hanging="360"/>
      </w:pPr>
    </w:lvl>
    <w:lvl w:ilvl="6" w:tplc="1304F60A" w:tentative="1">
      <w:start w:val="1"/>
      <w:numFmt w:val="bullet"/>
      <w:lvlText w:val="●"/>
      <w:lvlJc w:val="left"/>
      <w:pPr>
        <w:ind w:left="5040" w:hanging="360"/>
      </w:pPr>
    </w:lvl>
    <w:lvl w:ilvl="7" w:tplc="667657C4" w:tentative="1">
      <w:start w:val="1"/>
      <w:numFmt w:val="bullet"/>
      <w:lvlText w:val="●"/>
      <w:lvlJc w:val="left"/>
      <w:pPr>
        <w:ind w:left="5760" w:hanging="360"/>
      </w:pPr>
    </w:lvl>
    <w:lvl w:ilvl="8" w:tplc="4F7EFA6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BDB"/>
    <w:rsid w:val="001F4C84"/>
    <w:rsid w:val="002F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2769"/>
  <w15:docId w15:val="{5ACA89EC-4F32-41E6-8F98-EF56EDF3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2026-10-05T08:20:00Z</dcterms:created>
  <dcterms:modified xsi:type="dcterms:W3CDTF">2026-10-05T08:23:00Z</dcterms:modified>
</cp:coreProperties>
</file>