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639010CF">
      <w:pPr>
        <w:spacing w:before="0" w:after="80"/>
        <w:jc w:val="center"/>
      </w:pPr>
      <w:r>
        <w:rPr>
          <w:rFonts w:ascii="Cambria" w:hAnsi="Cambria" w:eastAsia="ＭＳ 明朝" w:cs="Cambria" w:asciiTheme="minorHAnsi" w:hAnsiTheme="minorHAnsi" w:eastAsiaTheme="minorEastAsia" w:csTheme="minorBidi"/>
          <w:b/>
          <w:bCs/>
          <w:color w:val="0B1D3A"/>
          <w:sz w:val="44"/>
          <w:szCs w:val="22"/>
        </w:rPr>
        <w:t>AI Engine Options for PCDC Platform</w:t>
      </w:r>
    </w:p>
    <w:p w14:paraId="67D52F26">
      <w:pPr>
        <w:pBdr>
          <w:bottom w:val="single" w:sz="6" w:space="1" w:color="C9A227"/>
        </w:pBdr>
        <w:spacing w:before="80" w:after="80"/>
      </w:pPr>
    </w:p>
    <w:p w14:paraId="150CFCC7">
      <w:pPr>
        <w:spacing w:before="200" w:after="120"/>
      </w:pPr>
      <w:r>
        <w:rPr>
          <w:rFonts w:ascii="Cambria" w:hAnsi="Cambria" w:eastAsia="ＭＳ 明朝" w:cs="Cambria" w:asciiTheme="minorHAnsi" w:hAnsiTheme="minorHAnsi" w:eastAsiaTheme="minorEastAsia" w:csTheme="minorBidi"/>
          <w:b/>
          <w:bCs/>
          <w:color w:val="0B1D3A"/>
          <w:sz w:val="28"/>
          <w:szCs w:val="22"/>
        </w:rPr>
        <w:t>What is the AI doing in this system?</w:t>
      </w:r>
    </w:p>
    <w:p w14:paraId="6C4BFC7F">
      <w:pPr>
        <w:spacing w:after="80"/>
      </w:pPr>
      <w:r>
        <w:rPr>
          <w:rFonts w:ascii="Cambria" w:hAnsi="Cambria" w:eastAsia="ＭＳ 明朝" w:cs="Cambria" w:asciiTheme="minorHAnsi" w:hAnsiTheme="minorHAnsi" w:eastAsiaTheme="minorEastAsia" w:csTheme="minorBidi"/>
          <w:color w:val="374151"/>
          <w:sz w:val="22"/>
          <w:szCs w:val="22"/>
        </w:rPr>
        <w:t>The AI is used at three key stages of the PCDC platform:</w:t>
      </w:r>
    </w:p>
    <w:p w14:paraId="4D29D6E3">
      <w:pPr>
        <w:pStyle w:val="ListBullet"/>
        <w:spacing w:before="40" w:after="40"/>
        <w:ind w:left="360" w:hanging="360"/>
      </w:pPr>
      <w:r>
        <w:rPr>
          <w:rFonts w:ascii="Cambria" w:hAnsi="Cambria" w:eastAsia="ＭＳ 明朝" w:cs="Cambria" w:asciiTheme="minorHAnsi" w:hAnsiTheme="minorHAnsi" w:eastAsiaTheme="minorEastAsia" w:csTheme="minorBidi"/>
          <w:color w:val="374151"/>
          <w:sz w:val="22"/>
          <w:szCs w:val="22"/>
        </w:rPr>
        <w:t>Case Generation — Faculty describe a scenario and the AI automatically writes a complete case study including questions, model answers, and marking scheme.</w:t>
      </w:r>
    </w:p>
    <w:p w14:paraId="2CEE0D98">
      <w:pPr>
        <w:pStyle w:val="ListBullet"/>
        <w:spacing w:before="40" w:after="40"/>
        <w:ind w:left="360" w:hanging="360"/>
      </w:pPr>
      <w:r>
        <w:rPr>
          <w:rFonts w:ascii="Cambria" w:hAnsi="Cambria" w:eastAsia="ＭＳ 明朝" w:cs="Cambria" w:asciiTheme="minorHAnsi" w:hAnsiTheme="minorHAnsi" w:eastAsiaTheme="minorEastAsia" w:csTheme="minorBidi"/>
          <w:color w:val="374151"/>
          <w:sz w:val="22"/>
          <w:szCs w:val="22"/>
        </w:rPr>
        <w:t>Student Evaluation — After a student completes their written analysis and rapid fire quiz, the AI reads their answers, compares them with the rubric, and generates a full report card with scores, grade, and improvement tips.</w:t>
      </w:r>
    </w:p>
    <w:p w14:paraId="74BDDBA9">
      <w:pPr>
        <w:pStyle w:val="ListBullet"/>
        <w:spacing w:before="40" w:after="40"/>
        <w:ind w:left="360" w:hanging="360"/>
      </w:pPr>
      <w:r>
        <w:rPr>
          <w:rFonts w:ascii="Cambria" w:hAnsi="Cambria" w:eastAsia="ＭＳ 明朝" w:cs="Cambria" w:asciiTheme="minorHAnsi" w:hAnsiTheme="minorHAnsi" w:eastAsiaTheme="minorEastAsia" w:csTheme="minorBidi"/>
          <w:color w:val="374151"/>
          <w:sz w:val="22"/>
          <w:szCs w:val="22"/>
        </w:rPr>
        <w:t>AI Coach — Students can ask the AI for guidance, hints, and discussion during or after a case attempt.</w:t>
      </w:r>
    </w:p>
    <w:p w14:paraId="4A031007">
      <w:pPr>
        <w:spacing w:after="160"/>
      </w:pPr>
      <w:r>
        <w:rPr>
          <w:rFonts w:ascii="Cambria" w:hAnsi="Cambria" w:eastAsia="ＭＳ 明朝" w:cs="Cambria" w:asciiTheme="minorHAnsi" w:hAnsiTheme="minorHAnsi" w:eastAsiaTheme="minorEastAsia" w:csTheme="minorBidi"/>
          <w:b/>
          <w:bCs/>
          <w:color w:val="374151"/>
          <w:sz w:val="22"/>
          <w:szCs w:val="22"/>
        </w:rPr>
        <w:t>The quality of these outputs depends entirely on which AI model is used.</w:t>
      </w:r>
    </w:p>
    <w:p w14:paraId="137E217B">
      <w:pPr>
        <w:pBdr>
          <w:bottom w:val="single" w:sz="6" w:space="1" w:color="C9A227"/>
        </w:pBdr>
        <w:spacing w:before="80" w:after="80"/>
      </w:pPr>
    </w:p>
    <w:p w14:paraId="09B8037F">
      <w:pPr>
        <w:spacing w:before="280" w:after="120"/>
      </w:pPr>
      <w:r>
        <w:rPr>
          <w:rFonts w:ascii="Cambria" w:hAnsi="Cambria" w:eastAsia="ＭＳ 明朝" w:cs="Cambria" w:asciiTheme="minorHAnsi" w:hAnsiTheme="minorHAnsi" w:eastAsiaTheme="minorEastAsia" w:csTheme="minorBidi"/>
          <w:b/>
          <w:bCs/>
          <w:color w:val="0B1D3A"/>
          <w:sz w:val="28"/>
          <w:szCs w:val="22"/>
        </w:rPr>
        <w:t>Think of it like this</w:t>
      </w:r>
    </w:p>
    <w:p w14:paraId="3336667D">
      <w:pPr>
        <w:spacing w:after="80"/>
      </w:pPr>
      <w:r>
        <w:rPr>
          <w:rFonts w:ascii="Cambria" w:hAnsi="Cambria" w:eastAsia="ＭＳ 明朝" w:cs="Cambria" w:asciiTheme="minorHAnsi" w:hAnsiTheme="minorHAnsi" w:eastAsiaTheme="minorEastAsia" w:csTheme="minorBidi"/>
          <w:color w:val="374151"/>
          <w:sz w:val="22"/>
          <w:szCs w:val="22"/>
        </w:rPr>
        <w:t>Imagine hiring a teacher to evaluate student answers:</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3135"/>
        <w:gridCol w:w="3135"/>
        <w:gridCol w:w="3135"/>
      </w:tblGrid>
      <w:tr>
        <w:tc>
          <w:tcPr>
            <w:tcW w:w="3118" w:type="dxa"/>
            <w:tcBorders>
              <w:top w:val="single" w:sz="4" w:space="0" w:color="auto"/>
              <w:left w:val="single" w:sz="4" w:space="0" w:color="auto"/>
              <w:bottom w:val="single" w:sz="4" w:space="0" w:color="auto"/>
              <w:right w:val="single" w:sz="4" w:space="0" w:color="auto"/>
            </w:tcBorders>
            <w:shd w:val="clear" w:fill="0B1D3A"/>
            <w:tcMar>
              <w:top w:w="0" w:type="dxa"/>
              <w:left w:w="108" w:type="dxa"/>
              <w:bottom w:w="0" w:type="dxa"/>
              <w:right w:w="108" w:type="dxa"/>
            </w:tcMar>
          </w:tcPr>
          <w:p w14:paraId="441961AE">
            <w:pPr>
              <w:jc w:val="center"/>
            </w:pPr>
            <w:r>
              <w:rPr>
                <w:rFonts w:ascii="Cambria" w:hAnsi="Cambria" w:eastAsia="ＭＳ 明朝" w:cs="Cambria" w:asciiTheme="minorHAnsi" w:hAnsiTheme="minorHAnsi" w:eastAsiaTheme="minorEastAsia" w:csTheme="minorBidi"/>
                <w:b/>
                <w:bCs/>
                <w:color w:val="FFFFFF"/>
                <w:sz w:val="20"/>
                <w:szCs w:val="22"/>
              </w:rPr>
              <w:t>Option</w:t>
            </w:r>
          </w:p>
        </w:tc>
        <w:tc>
          <w:tcPr>
            <w:tcW w:w="3685" w:type="dxa"/>
            <w:tcBorders>
              <w:top w:val="single" w:sz="4" w:space="0" w:color="auto"/>
              <w:left w:val="single" w:sz="4" w:space="0" w:color="auto"/>
              <w:bottom w:val="single" w:sz="4" w:space="0" w:color="auto"/>
              <w:right w:val="single" w:sz="4" w:space="0" w:color="auto"/>
            </w:tcBorders>
            <w:shd w:val="clear" w:fill="0B1D3A"/>
            <w:tcMar>
              <w:top w:w="0" w:type="dxa"/>
              <w:left w:w="108" w:type="dxa"/>
              <w:bottom w:w="0" w:type="dxa"/>
              <w:right w:w="108" w:type="dxa"/>
            </w:tcMar>
          </w:tcPr>
          <w:p w14:paraId="655176A6">
            <w:pPr>
              <w:jc w:val="center"/>
            </w:pPr>
            <w:r>
              <w:rPr>
                <w:rFonts w:ascii="Cambria" w:hAnsi="Cambria" w:eastAsia="ＭＳ 明朝" w:cs="Cambria" w:asciiTheme="minorHAnsi" w:hAnsiTheme="minorHAnsi" w:eastAsiaTheme="minorEastAsia" w:csTheme="minorBidi"/>
                <w:b/>
                <w:bCs/>
                <w:color w:val="FFFFFF"/>
                <w:sz w:val="20"/>
                <w:szCs w:val="22"/>
              </w:rPr>
              <w:t>Equivalent to</w:t>
            </w:r>
          </w:p>
        </w:tc>
        <w:tc>
          <w:tcPr>
            <w:tcW w:w="3118" w:type="dxa"/>
            <w:tcBorders>
              <w:top w:val="single" w:sz="4" w:space="0" w:color="auto"/>
              <w:left w:val="single" w:sz="4" w:space="0" w:color="auto"/>
              <w:bottom w:val="single" w:sz="4" w:space="0" w:color="auto"/>
              <w:right w:val="single" w:sz="4" w:space="0" w:color="auto"/>
            </w:tcBorders>
            <w:shd w:val="clear" w:fill="0B1D3A"/>
            <w:tcMar>
              <w:top w:w="0" w:type="dxa"/>
              <w:left w:w="108" w:type="dxa"/>
              <w:bottom w:w="0" w:type="dxa"/>
              <w:right w:w="108" w:type="dxa"/>
            </w:tcMar>
          </w:tcPr>
          <w:p w14:paraId="4EB99F5E">
            <w:pPr>
              <w:jc w:val="center"/>
            </w:pPr>
            <w:r>
              <w:rPr>
                <w:rFonts w:ascii="Cambria" w:hAnsi="Cambria" w:eastAsia="ＭＳ 明朝" w:cs="Cambria" w:asciiTheme="minorHAnsi" w:hAnsiTheme="minorHAnsi" w:eastAsiaTheme="minorEastAsia" w:csTheme="minorBidi"/>
                <w:b/>
                <w:bCs/>
                <w:color w:val="FFFFFF"/>
                <w:sz w:val="20"/>
                <w:szCs w:val="22"/>
              </w:rPr>
              <w:t>Quality</w:t>
            </w:r>
          </w:p>
        </w:tc>
      </w:tr>
      <w:tr>
        <w:tc>
          <w:tcPr>
            <w:tcW w:w="3118" w:type="dxa"/>
            <w:tcBorders>
              <w:top w:val="single" w:sz="4" w:space="0" w:color="auto"/>
              <w:left w:val="single" w:sz="4" w:space="0" w:color="auto"/>
              <w:bottom w:val="single" w:sz="4" w:space="0" w:color="auto"/>
              <w:right w:val="single" w:sz="4" w:space="0" w:color="auto"/>
            </w:tcBorders>
            <w:shd w:val="clear" w:fill="F9F9F9"/>
            <w:tcMar>
              <w:top w:w="0" w:type="dxa"/>
              <w:left w:w="108" w:type="dxa"/>
              <w:bottom w:w="0" w:type="dxa"/>
              <w:right w:w="108" w:type="dxa"/>
            </w:tcMar>
          </w:tcPr>
          <w:p w14:paraId="244BBA8D">
            <w:pPr>
              <w:spacing w:after="200" w:line="276" w:lineRule="auto"/>
            </w:pPr>
            <w:r>
              <w:rPr>
                <w:rFonts w:ascii="Cambria" w:hAnsi="Cambria" w:eastAsia="ＭＳ 明朝" w:cs="Cambria" w:asciiTheme="minorHAnsi" w:hAnsiTheme="minorHAnsi" w:eastAsiaTheme="minorEastAsia" w:csTheme="minorBidi"/>
                <w:color w:val="374151"/>
                <w:sz w:val="20"/>
                <w:szCs w:val="22"/>
              </w:rPr>
              <w:t>Small local AI (Qwen 7B)</w:t>
            </w:r>
          </w:p>
        </w:tc>
        <w:tc>
          <w:tcPr>
            <w:tcW w:w="3685" w:type="dxa"/>
            <w:tcBorders>
              <w:top w:val="single" w:sz="4" w:space="0" w:color="auto"/>
              <w:left w:val="single" w:sz="4" w:space="0" w:color="auto"/>
              <w:bottom w:val="single" w:sz="4" w:space="0" w:color="auto"/>
              <w:right w:val="single" w:sz="4" w:space="0" w:color="auto"/>
            </w:tcBorders>
            <w:shd w:val="clear" w:fill="F9F9F9"/>
            <w:tcMar>
              <w:top w:w="0" w:type="dxa"/>
              <w:left w:w="108" w:type="dxa"/>
              <w:bottom w:w="0" w:type="dxa"/>
              <w:right w:w="108" w:type="dxa"/>
            </w:tcMar>
          </w:tcPr>
          <w:p w14:paraId="382DFA28">
            <w:pPr>
              <w:spacing w:after="200" w:line="276" w:lineRule="auto"/>
            </w:pPr>
            <w:r>
              <w:rPr>
                <w:rFonts w:ascii="Cambria" w:hAnsi="Cambria" w:eastAsia="ＭＳ 明朝" w:cs="Cambria" w:asciiTheme="minorHAnsi" w:hAnsiTheme="minorHAnsi" w:eastAsiaTheme="minorEastAsia" w:csTheme="minorBidi"/>
                <w:color w:val="374151"/>
                <w:sz w:val="20"/>
                <w:szCs w:val="22"/>
              </w:rPr>
              <w:t>A junior intern with limited knowledge</w:t>
            </w:r>
          </w:p>
        </w:tc>
        <w:tc>
          <w:tcPr>
            <w:tcW w:w="3118" w:type="dxa"/>
            <w:tcBorders>
              <w:top w:val="single" w:sz="4" w:space="0" w:color="auto"/>
              <w:left w:val="single" w:sz="4" w:space="0" w:color="auto"/>
              <w:bottom w:val="single" w:sz="4" w:space="0" w:color="auto"/>
              <w:right w:val="single" w:sz="4" w:space="0" w:color="auto"/>
            </w:tcBorders>
            <w:shd w:val="clear" w:fill="F9F9F9"/>
            <w:tcMar>
              <w:top w:w="0" w:type="dxa"/>
              <w:left w:w="108" w:type="dxa"/>
              <w:bottom w:w="0" w:type="dxa"/>
              <w:right w:w="108" w:type="dxa"/>
            </w:tcMar>
          </w:tcPr>
          <w:p w14:paraId="01F3EA24">
            <w:pPr>
              <w:spacing w:after="200" w:line="276" w:lineRule="auto"/>
            </w:pPr>
            <w:r>
              <w:rPr>
                <w:rFonts w:ascii="Cambria" w:hAnsi="Cambria" w:eastAsia="ＭＳ 明朝" w:cs="Cambria" w:asciiTheme="minorHAnsi" w:hAnsiTheme="minorHAnsi" w:eastAsiaTheme="minorEastAsia" w:csTheme="minorBidi"/>
                <w:color w:val="374151"/>
                <w:sz w:val="20"/>
                <w:szCs w:val="22"/>
              </w:rPr>
              <w:t>Basic, often generic feedback</w:t>
            </w:r>
          </w:p>
        </w:tc>
      </w:tr>
      <w:tr>
        <w:tc>
          <w:tcPr>
            <w:tcW w:w="3118"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tcPr>
          <w:p w14:paraId="02F0656E">
            <w:pPr>
              <w:spacing w:after="200" w:line="276" w:lineRule="auto"/>
            </w:pPr>
            <w:r>
              <w:rPr>
                <w:rFonts w:ascii="Cambria" w:hAnsi="Cambria" w:eastAsia="ＭＳ 明朝" w:cs="Cambria" w:asciiTheme="minorHAnsi" w:hAnsiTheme="minorHAnsi" w:eastAsiaTheme="minorEastAsia" w:csTheme="minorBidi"/>
                <w:color w:val="374151"/>
                <w:sz w:val="20"/>
                <w:szCs w:val="22"/>
              </w:rPr>
              <w:t>Medium local AI (Qwen 14B)</w:t>
            </w:r>
          </w:p>
        </w:tc>
        <w:tc>
          <w:tcPr>
            <w:tcW w:w="3685"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tcPr>
          <w:p w14:paraId="0330E204">
            <w:pPr>
              <w:spacing w:after="200" w:line="276" w:lineRule="auto"/>
            </w:pPr>
            <w:r>
              <w:rPr>
                <w:rFonts w:ascii="Cambria" w:hAnsi="Cambria" w:eastAsia="ＭＳ 明朝" w:cs="Cambria" w:asciiTheme="minorHAnsi" w:hAnsiTheme="minorHAnsi" w:eastAsiaTheme="minorEastAsia" w:csTheme="minorBidi"/>
                <w:color w:val="374151"/>
                <w:sz w:val="20"/>
                <w:szCs w:val="22"/>
              </w:rPr>
              <w:t>A trained teacher</w:t>
            </w:r>
          </w:p>
        </w:tc>
        <w:tc>
          <w:tcPr>
            <w:tcW w:w="3118"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tcPr>
          <w:p w14:paraId="0D893F19">
            <w:pPr>
              <w:spacing w:after="200" w:line="276" w:lineRule="auto"/>
            </w:pPr>
            <w:r>
              <w:rPr>
                <w:rFonts w:ascii="Cambria" w:hAnsi="Cambria" w:eastAsia="ＭＳ 明朝" w:cs="Cambria" w:asciiTheme="minorHAnsi" w:hAnsiTheme="minorHAnsi" w:eastAsiaTheme="minorEastAsia" w:csTheme="minorBidi"/>
                <w:color w:val="374151"/>
                <w:sz w:val="20"/>
                <w:szCs w:val="22"/>
              </w:rPr>
              <w:t>Good, relevant feedback</w:t>
            </w:r>
          </w:p>
        </w:tc>
      </w:tr>
      <w:tr>
        <w:tc>
          <w:tcPr>
            <w:tcW w:w="3118" w:type="dxa"/>
            <w:tcBorders>
              <w:top w:val="single" w:sz="4" w:space="0" w:color="auto"/>
              <w:left w:val="single" w:sz="4" w:space="0" w:color="auto"/>
              <w:bottom w:val="single" w:sz="4" w:space="0" w:color="auto"/>
              <w:right w:val="single" w:sz="4" w:space="0" w:color="auto"/>
            </w:tcBorders>
            <w:shd w:val="clear" w:fill="F9F9F9"/>
            <w:tcMar>
              <w:top w:w="0" w:type="dxa"/>
              <w:left w:w="108" w:type="dxa"/>
              <w:bottom w:w="0" w:type="dxa"/>
              <w:right w:w="108" w:type="dxa"/>
            </w:tcMar>
          </w:tcPr>
          <w:p w14:paraId="3C88618B">
            <w:pPr>
              <w:spacing w:after="200" w:line="276" w:lineRule="auto"/>
            </w:pPr>
            <w:r>
              <w:rPr>
                <w:rFonts w:ascii="Cambria" w:hAnsi="Cambria" w:eastAsia="ＭＳ 明朝" w:cs="Cambria" w:asciiTheme="minorHAnsi" w:hAnsiTheme="minorHAnsi" w:eastAsiaTheme="minorEastAsia" w:csTheme="minorBidi"/>
                <w:color w:val="374151"/>
                <w:sz w:val="20"/>
                <w:szCs w:val="22"/>
              </w:rPr>
              <w:t>Premium AI API (GPT-4o / Gemini)</w:t>
            </w:r>
          </w:p>
        </w:tc>
        <w:tc>
          <w:tcPr>
            <w:tcW w:w="3685" w:type="dxa"/>
            <w:tcBorders>
              <w:top w:val="single" w:sz="4" w:space="0" w:color="auto"/>
              <w:left w:val="single" w:sz="4" w:space="0" w:color="auto"/>
              <w:bottom w:val="single" w:sz="4" w:space="0" w:color="auto"/>
              <w:right w:val="single" w:sz="4" w:space="0" w:color="auto"/>
            </w:tcBorders>
            <w:shd w:val="clear" w:fill="F9F9F9"/>
            <w:tcMar>
              <w:top w:w="0" w:type="dxa"/>
              <w:left w:w="108" w:type="dxa"/>
              <w:bottom w:w="0" w:type="dxa"/>
              <w:right w:w="108" w:type="dxa"/>
            </w:tcMar>
          </w:tcPr>
          <w:p w14:paraId="165DB933">
            <w:pPr>
              <w:spacing w:after="200" w:line="276" w:lineRule="auto"/>
            </w:pPr>
            <w:r>
              <w:rPr>
                <w:rFonts w:ascii="Cambria" w:hAnsi="Cambria" w:eastAsia="ＭＳ 明朝" w:cs="Cambria" w:asciiTheme="minorHAnsi" w:hAnsiTheme="minorHAnsi" w:eastAsiaTheme="minorEastAsia" w:csTheme="minorBidi"/>
                <w:color w:val="374151"/>
                <w:sz w:val="20"/>
                <w:szCs w:val="22"/>
              </w:rPr>
              <w:t>An expert professor with years of experience</w:t>
            </w:r>
          </w:p>
        </w:tc>
        <w:tc>
          <w:tcPr>
            <w:tcW w:w="3118" w:type="dxa"/>
            <w:tcBorders>
              <w:top w:val="single" w:sz="4" w:space="0" w:color="auto"/>
              <w:left w:val="single" w:sz="4" w:space="0" w:color="auto"/>
              <w:bottom w:val="single" w:sz="4" w:space="0" w:color="auto"/>
              <w:right w:val="single" w:sz="4" w:space="0" w:color="auto"/>
            </w:tcBorders>
            <w:shd w:val="clear" w:fill="F9F9F9"/>
            <w:tcMar>
              <w:top w:w="0" w:type="dxa"/>
              <w:left w:w="108" w:type="dxa"/>
              <w:bottom w:w="0" w:type="dxa"/>
              <w:right w:w="108" w:type="dxa"/>
            </w:tcMar>
          </w:tcPr>
          <w:p w14:paraId="11435EBA">
            <w:pPr>
              <w:spacing w:after="200" w:line="276" w:lineRule="auto"/>
            </w:pPr>
            <w:r>
              <w:rPr>
                <w:rFonts w:ascii="Cambria" w:hAnsi="Cambria" w:eastAsia="ＭＳ 明朝" w:cs="Cambria" w:asciiTheme="minorHAnsi" w:hAnsiTheme="minorHAnsi" w:eastAsiaTheme="minorEastAsia" w:csTheme="minorBidi"/>
                <w:color w:val="374151"/>
                <w:sz w:val="20"/>
                <w:szCs w:val="22"/>
              </w:rPr>
              <w:t>Detailed, specific, high-quality feedback</w:t>
            </w:r>
          </w:p>
        </w:tc>
      </w:tr>
    </w:tbl>
    <w:p w14:paraId="0CD2BA5B">
      <w:pPr>
        <w:pBdr>
          <w:bottom w:val="single" w:sz="6" w:space="1" w:color="C9A227"/>
        </w:pBdr>
        <w:spacing w:before="80" w:after="80"/>
      </w:pPr>
    </w:p>
    <w:p w14:paraId="4791FEB7">
      <w:pPr>
        <w:spacing w:before="280" w:after="120"/>
      </w:pPr>
      <w:r>
        <w:rPr>
          <w:rFonts w:ascii="Cambria" w:hAnsi="Cambria" w:eastAsia="ＭＳ 明朝" w:cs="Cambria" w:asciiTheme="minorHAnsi" w:hAnsiTheme="minorHAnsi" w:eastAsiaTheme="minorEastAsia" w:csTheme="minorBidi"/>
          <w:b/>
          <w:bCs/>
          <w:color w:val="0B1D3A"/>
          <w:sz w:val="28"/>
          <w:szCs w:val="22"/>
        </w:rPr>
        <w:t>Option 1 — Run AI on Your Own Server (Local)</w:t>
      </w:r>
    </w:p>
    <w:p w14:paraId="10E4D9B5">
      <w:pPr>
        <w:spacing w:after="80"/>
      </w:pPr>
      <w:r>
        <w:rPr>
          <w:rFonts w:ascii="Cambria" w:hAnsi="Cambria" w:eastAsia="ＭＳ 明朝" w:cs="Cambria" w:asciiTheme="minorHAnsi" w:hAnsiTheme="minorHAnsi" w:eastAsiaTheme="minorEastAsia" w:csTheme="minorBidi"/>
          <w:color w:val="374151"/>
          <w:sz w:val="22"/>
          <w:szCs w:val="22"/>
        </w:rPr>
        <w:t>The server you have has a graphics card (GPU) with 8 GB memory. This limits which AI models can run on it.</w:t>
      </w:r>
    </w:p>
    <w:p w14:paraId="7012656D">
      <w:pPr>
        <w:spacing w:before="120" w:after="120"/>
      </w:pPr>
      <w:r>
        <w:rPr>
          <w:rFonts w:ascii="Cambria" w:hAnsi="Cambria" w:eastAsia="ＭＳ 明朝" w:cs="Cambria" w:asciiTheme="minorHAnsi" w:hAnsiTheme="minorHAnsi" w:eastAsiaTheme="minorEastAsia" w:csTheme="minorBidi"/>
          <w:b/>
          <w:bCs/>
          <w:color w:val="DC2626"/>
          <w:sz w:val="24"/>
          <w:szCs w:val="22"/>
        </w:rPr>
        <w:t>The only model that fits: Qwen 7B</w:t>
      </w:r>
    </w:p>
    <w:p w14:paraId="6A8997A9">
      <w:pPr>
        <w:spacing w:after="80"/>
      </w:pPr>
      <w:r>
        <w:rPr>
          <w:rFonts w:ascii="Cambria" w:hAnsi="Cambria" w:eastAsia="ＭＳ 明朝" w:cs="Cambria" w:asciiTheme="minorHAnsi" w:hAnsiTheme="minorHAnsi" w:eastAsiaTheme="minorEastAsia" w:csTheme="minorBidi"/>
          <w:b/>
          <w:bCs/>
          <w:color w:val="374151"/>
          <w:sz w:val="22"/>
          <w:szCs w:val="22"/>
        </w:rPr>
        <w:t>Important: Even with Qwen 7B, the output quality will NOT be good enough for academic use.</w:t>
      </w:r>
    </w:p>
    <w:p w14:paraId="0A3BBAA0">
      <w:pPr>
        <w:spacing w:after="80"/>
      </w:pPr>
      <w:r>
        <w:rPr>
          <w:rFonts w:ascii="Cambria" w:hAnsi="Cambria" w:eastAsia="ＭＳ 明朝" w:cs="Cambria" w:asciiTheme="minorHAnsi" w:hAnsiTheme="minorHAnsi" w:eastAsiaTheme="minorEastAsia" w:csTheme="minorBidi"/>
          <w:color w:val="374151"/>
          <w:sz w:val="22"/>
          <w:szCs w:val="22"/>
        </w:rPr>
        <w:t>Here is what you will actually see in student report cards with Qwen 7B:</w:t>
      </w:r>
    </w:p>
    <w:p w14:paraId="31F50522">
      <w:pPr>
        <w:spacing w:after="120"/>
        <w:ind w:left="567"/>
      </w:pPr>
      <w:r>
        <w:rPr>
          <w:rFonts w:ascii="Cambria" w:hAnsi="Cambria" w:eastAsia="ＭＳ 明朝" w:cs="Cambria" w:asciiTheme="minorHAnsi" w:hAnsiTheme="minorHAnsi" w:eastAsiaTheme="minorEastAsia" w:csTheme="minorBidi"/>
          <w:i/>
          <w:iCs/>
          <w:color w:val="6B7280"/>
          <w:sz w:val="22"/>
          <w:szCs w:val="22"/>
        </w:rPr>
        <w:t>"Good analysis. The student has identified the key issues. Consider exploring more solutions."</w:t>
      </w:r>
    </w:p>
    <w:p w14:paraId="4C8BB7C5">
      <w:pPr>
        <w:pStyle w:val="ListBullet"/>
        <w:spacing w:before="40" w:after="40"/>
        <w:ind w:left="360" w:hanging="360"/>
      </w:pPr>
      <w:r>
        <w:rPr>
          <w:rFonts w:ascii="Cambria" w:hAnsi="Cambria" w:eastAsia="ＭＳ 明朝" w:cs="Cambria" w:asciiTheme="minorHAnsi" w:hAnsiTheme="minorHAnsi" w:eastAsiaTheme="minorEastAsia" w:csTheme="minorBidi"/>
          <w:color w:val="374151"/>
          <w:sz w:val="22"/>
          <w:szCs w:val="22"/>
        </w:rPr>
        <w:t>Feedback is short and generic — same type of feedback for every student</w:t>
      </w:r>
    </w:p>
    <w:p w14:paraId="3E9E67C7">
      <w:pPr>
        <w:pStyle w:val="ListBullet"/>
        <w:spacing w:before="40" w:after="40"/>
        <w:ind w:left="360" w:hanging="360"/>
      </w:pPr>
      <w:r>
        <w:rPr>
          <w:rFonts w:ascii="Cambria" w:hAnsi="Cambria" w:eastAsia="ＭＳ 明朝" w:cs="Cambria" w:asciiTheme="minorHAnsi" w:hAnsiTheme="minorHAnsi" w:eastAsiaTheme="minorEastAsia" w:csTheme="minorBidi"/>
          <w:color w:val="374151"/>
          <w:sz w:val="22"/>
          <w:szCs w:val="22"/>
        </w:rPr>
        <w:t>Marks awarded are often inconsistent — a weak answer and a strong answer may get similar scores</w:t>
      </w:r>
    </w:p>
    <w:p w14:paraId="4D11B1B9">
      <w:pPr>
        <w:pStyle w:val="ListBullet"/>
        <w:spacing w:before="40" w:after="40"/>
        <w:ind w:left="360" w:hanging="360"/>
      </w:pPr>
      <w:r>
        <w:rPr>
          <w:rFonts w:ascii="Cambria" w:hAnsi="Cambria" w:eastAsia="ＭＳ 明朝" w:cs="Cambria" w:asciiTheme="minorHAnsi" w:hAnsiTheme="minorHAnsi" w:eastAsiaTheme="minorEastAsia" w:csTheme="minorBidi"/>
          <w:color w:val="374151"/>
          <w:sz w:val="22"/>
          <w:szCs w:val="22"/>
        </w:rPr>
        <w:t>The AI sometimes misreads the rubric and gives wrong marks</w:t>
      </w:r>
    </w:p>
    <w:p w14:paraId="2F767BC1">
      <w:pPr>
        <w:pStyle w:val="ListBullet"/>
        <w:spacing w:before="40" w:after="40"/>
        <w:ind w:left="360" w:hanging="360"/>
      </w:pPr>
      <w:r>
        <w:rPr>
          <w:rFonts w:ascii="Cambria" w:hAnsi="Cambria" w:eastAsia="ＭＳ 明朝" w:cs="Cambria" w:asciiTheme="minorHAnsi" w:hAnsiTheme="minorHAnsi" w:eastAsiaTheme="minorEastAsia" w:csTheme="minorBidi"/>
          <w:color w:val="374151"/>
          <w:sz w:val="22"/>
          <w:szCs w:val="22"/>
        </w:rPr>
        <w:t>Improvement suggestions are vague — not helpful to the student</w:t>
      </w:r>
    </w:p>
    <w:p w14:paraId="5AAD9C50">
      <w:pPr>
        <w:pStyle w:val="ListBullet"/>
        <w:spacing w:before="40" w:after="40"/>
        <w:ind w:left="360" w:hanging="360"/>
      </w:pPr>
      <w:r>
        <w:rPr>
          <w:rFonts w:ascii="Cambria" w:hAnsi="Cambria" w:eastAsia="ＭＳ 明朝" w:cs="Cambria" w:asciiTheme="minorHAnsi" w:hAnsiTheme="minorHAnsi" w:eastAsiaTheme="minorEastAsia" w:csTheme="minorBidi"/>
          <w:color w:val="374151"/>
          <w:sz w:val="22"/>
          <w:szCs w:val="22"/>
        </w:rPr>
        <w:t>Structured scoring (marks per question) occasionally breaks or gives incorrect numbers</w:t>
      </w:r>
    </w:p>
    <w:p w14:paraId="17431FB8">
      <w:pPr>
        <w:pStyle w:val="ListBullet"/>
        <w:spacing w:before="40" w:after="40"/>
        <w:ind w:left="360" w:hanging="360"/>
      </w:pPr>
      <w:r>
        <w:rPr>
          <w:rFonts w:ascii="Cambria" w:hAnsi="Cambria" w:eastAsia="ＭＳ 明朝" w:cs="Cambria" w:asciiTheme="minorHAnsi" w:hAnsiTheme="minorHAnsi" w:eastAsiaTheme="minorEastAsia" w:csTheme="minorBidi"/>
          <w:color w:val="374151"/>
          <w:sz w:val="22"/>
          <w:szCs w:val="22"/>
        </w:rPr>
        <w:t>Students will quickly notice the feedback feels copy-pasted and loses trust in the system</w:t>
      </w:r>
    </w:p>
    <w:p w14:paraId="7AE8A87C">
      <w:pPr>
        <w:spacing w:after="160"/>
      </w:pPr>
      <w:r>
        <w:rPr>
          <w:rFonts w:ascii="Cambria" w:hAnsi="Cambria" w:eastAsia="ＭＳ 明朝" w:cs="Cambria" w:asciiTheme="minorHAnsi" w:hAnsiTheme="minorHAnsi" w:eastAsiaTheme="minorEastAsia" w:csTheme="minorBidi"/>
          <w:b/>
          <w:bCs/>
          <w:color w:val="374151"/>
          <w:sz w:val="22"/>
          <w:szCs w:val="22"/>
        </w:rPr>
        <w:t>This is not a software problem — it is a hardware limitation. The model is simply not powerful enough for the complexity of business case evaluation.</w:t>
      </w:r>
    </w:p>
    <w:p w14:paraId="479081C7">
      <w:pPr>
        <w:spacing w:before="120" w:after="120"/>
      </w:pPr>
      <w:r>
        <w:rPr>
          <w:rFonts w:ascii="Cambria" w:hAnsi="Cambria" w:eastAsia="ＭＳ 明朝" w:cs="Cambria" w:asciiTheme="minorHAnsi" w:hAnsiTheme="minorHAnsi" w:eastAsiaTheme="minorEastAsia" w:csTheme="minorBidi"/>
          <w:b/>
          <w:bCs/>
          <w:color w:val="0B1D3A"/>
          <w:sz w:val="24"/>
          <w:szCs w:val="22"/>
        </w:rPr>
        <w:t>How many students can use it at one time?</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4703"/>
        <w:gridCol w:w="4703"/>
      </w:tblGrid>
      <w:tr>
        <w:tc>
          <w:tcPr>
            <w:tcW w:w="4535" w:type="dxa"/>
            <w:tcBorders>
              <w:top w:val="single" w:sz="4" w:space="0" w:color="auto"/>
              <w:left w:val="single" w:sz="4" w:space="0" w:color="auto"/>
              <w:bottom w:val="single" w:sz="4" w:space="0" w:color="auto"/>
              <w:right w:val="single" w:sz="4" w:space="0" w:color="auto"/>
            </w:tcBorders>
            <w:shd w:val="clear" w:fill="0B1D3A"/>
            <w:tcMar>
              <w:top w:w="0" w:type="dxa"/>
              <w:left w:w="108" w:type="dxa"/>
              <w:bottom w:w="0" w:type="dxa"/>
              <w:right w:w="108" w:type="dxa"/>
            </w:tcMar>
          </w:tcPr>
          <w:p w14:paraId="684896E9">
            <w:pPr>
              <w:jc w:val="center"/>
            </w:pPr>
            <w:r>
              <w:rPr>
                <w:rFonts w:ascii="Cambria" w:hAnsi="Cambria" w:eastAsia="ＭＳ 明朝" w:cs="Cambria" w:asciiTheme="minorHAnsi" w:hAnsiTheme="minorHAnsi" w:eastAsiaTheme="minorEastAsia" w:csTheme="minorBidi"/>
                <w:b/>
                <w:bCs/>
                <w:color w:val="FFFFFF"/>
                <w:sz w:val="20"/>
                <w:szCs w:val="22"/>
              </w:rPr>
              <w:t>Students submitting at the same time</w:t>
            </w:r>
          </w:p>
        </w:tc>
        <w:tc>
          <w:tcPr>
            <w:tcW w:w="2835" w:type="dxa"/>
            <w:tcBorders>
              <w:top w:val="single" w:sz="4" w:space="0" w:color="auto"/>
              <w:left w:val="single" w:sz="4" w:space="0" w:color="auto"/>
              <w:bottom w:val="single" w:sz="4" w:space="0" w:color="auto"/>
              <w:right w:val="single" w:sz="4" w:space="0" w:color="auto"/>
            </w:tcBorders>
            <w:shd w:val="clear" w:fill="0B1D3A"/>
            <w:tcMar>
              <w:top w:w="0" w:type="dxa"/>
              <w:left w:w="108" w:type="dxa"/>
              <w:bottom w:w="0" w:type="dxa"/>
              <w:right w:w="108" w:type="dxa"/>
            </w:tcMar>
          </w:tcPr>
          <w:p w14:paraId="6D3CAD86">
            <w:pPr>
              <w:jc w:val="center"/>
            </w:pPr>
            <w:r>
              <w:rPr>
                <w:rFonts w:ascii="Cambria" w:hAnsi="Cambria" w:eastAsia="ＭＳ 明朝" w:cs="Cambria" w:asciiTheme="minorHAnsi" w:hAnsiTheme="minorHAnsi" w:eastAsiaTheme="minorEastAsia" w:csTheme="minorBidi"/>
                <w:b/>
                <w:bCs/>
                <w:color w:val="FFFFFF"/>
                <w:sz w:val="20"/>
                <w:szCs w:val="22"/>
              </w:rPr>
              <w:t>Wait time for report card</w:t>
            </w:r>
          </w:p>
        </w:tc>
      </w:tr>
      <w:tr>
        <w:tc>
          <w:tcPr>
            <w:tcW w:w="4535" w:type="dxa"/>
            <w:tcBorders>
              <w:top w:val="single" w:sz="4" w:space="0" w:color="auto"/>
              <w:left w:val="single" w:sz="4" w:space="0" w:color="auto"/>
              <w:bottom w:val="single" w:sz="4" w:space="0" w:color="auto"/>
              <w:right w:val="single" w:sz="4" w:space="0" w:color="auto"/>
            </w:tcBorders>
            <w:shd w:val="clear" w:fill="F9F9F9"/>
            <w:tcMar>
              <w:top w:w="0" w:type="dxa"/>
              <w:left w:w="108" w:type="dxa"/>
              <w:bottom w:w="0" w:type="dxa"/>
              <w:right w:w="108" w:type="dxa"/>
            </w:tcMar>
          </w:tcPr>
          <w:p w14:paraId="213A4A38">
            <w:pPr>
              <w:spacing w:after="200" w:line="276" w:lineRule="auto"/>
            </w:pPr>
            <w:r>
              <w:rPr>
                <w:rFonts w:ascii="Cambria" w:hAnsi="Cambria" w:eastAsia="ＭＳ 明朝" w:cs="Cambria" w:asciiTheme="minorHAnsi" w:hAnsiTheme="minorHAnsi" w:eastAsiaTheme="minorEastAsia" w:csTheme="minorBidi"/>
                <w:color w:val="374151"/>
                <w:sz w:val="20"/>
                <w:szCs w:val="22"/>
              </w:rPr>
              <w:t>Up to 15 students</w:t>
            </w:r>
          </w:p>
        </w:tc>
        <w:tc>
          <w:tcPr>
            <w:tcW w:w="2835" w:type="dxa"/>
            <w:tcBorders>
              <w:top w:val="single" w:sz="4" w:space="0" w:color="auto"/>
              <w:left w:val="single" w:sz="4" w:space="0" w:color="auto"/>
              <w:bottom w:val="single" w:sz="4" w:space="0" w:color="auto"/>
              <w:right w:val="single" w:sz="4" w:space="0" w:color="auto"/>
            </w:tcBorders>
            <w:shd w:val="clear" w:fill="F9F9F9"/>
            <w:tcMar>
              <w:top w:w="0" w:type="dxa"/>
              <w:left w:w="108" w:type="dxa"/>
              <w:bottom w:w="0" w:type="dxa"/>
              <w:right w:w="108" w:type="dxa"/>
            </w:tcMar>
          </w:tcPr>
          <w:p w14:paraId="45C66AE1">
            <w:pPr>
              <w:spacing w:after="200" w:line="276" w:lineRule="auto"/>
            </w:pPr>
            <w:r>
              <w:rPr>
                <w:rFonts w:ascii="Cambria" w:hAnsi="Cambria" w:eastAsia="ＭＳ 明朝" w:cs="Cambria" w:asciiTheme="minorHAnsi" w:hAnsiTheme="minorHAnsi" w:eastAsiaTheme="minorEastAsia" w:csTheme="minorBidi"/>
                <w:color w:val="374151"/>
                <w:sz w:val="20"/>
                <w:szCs w:val="22"/>
              </w:rPr>
              <w:t>~1–2 minutes</w:t>
            </w:r>
          </w:p>
        </w:tc>
      </w:tr>
      <w:tr>
        <w:tc>
          <w:tcPr>
            <w:tcW w:w="4535"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tcPr>
          <w:p w14:paraId="149263DF">
            <w:pPr>
              <w:spacing w:after="200" w:line="276" w:lineRule="auto"/>
            </w:pPr>
            <w:r>
              <w:rPr>
                <w:rFonts w:ascii="Cambria" w:hAnsi="Cambria" w:eastAsia="ＭＳ 明朝" w:cs="Cambria" w:asciiTheme="minorHAnsi" w:hAnsiTheme="minorHAnsi" w:eastAsiaTheme="minorEastAsia" w:csTheme="minorBidi"/>
                <w:color w:val="374151"/>
                <w:sz w:val="20"/>
                <w:szCs w:val="22"/>
              </w:rPr>
              <w:t>15 to 50 students</w:t>
            </w:r>
          </w:p>
        </w:tc>
        <w:tc>
          <w:tcPr>
            <w:tcW w:w="2835"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tcPr>
          <w:p w14:paraId="0757A671">
            <w:pPr>
              <w:spacing w:after="200" w:line="276" w:lineRule="auto"/>
            </w:pPr>
            <w:r>
              <w:rPr>
                <w:rFonts w:ascii="Cambria" w:hAnsi="Cambria" w:eastAsia="ＭＳ 明朝" w:cs="Cambria" w:asciiTheme="minorHAnsi" w:hAnsiTheme="minorHAnsi" w:eastAsiaTheme="minorEastAsia" w:csTheme="minorBidi"/>
                <w:color w:val="374151"/>
                <w:sz w:val="20"/>
                <w:szCs w:val="22"/>
              </w:rPr>
              <w:t>~3–8 minutes</w:t>
            </w:r>
          </w:p>
        </w:tc>
      </w:tr>
      <w:tr>
        <w:tc>
          <w:tcPr>
            <w:tcW w:w="4535" w:type="dxa"/>
            <w:tcBorders>
              <w:top w:val="single" w:sz="4" w:space="0" w:color="auto"/>
              <w:left w:val="single" w:sz="4" w:space="0" w:color="auto"/>
              <w:bottom w:val="single" w:sz="4" w:space="0" w:color="auto"/>
              <w:right w:val="single" w:sz="4" w:space="0" w:color="auto"/>
            </w:tcBorders>
            <w:shd w:val="clear" w:fill="F9F9F9"/>
            <w:tcMar>
              <w:top w:w="0" w:type="dxa"/>
              <w:left w:w="108" w:type="dxa"/>
              <w:bottom w:w="0" w:type="dxa"/>
              <w:right w:w="108" w:type="dxa"/>
            </w:tcMar>
          </w:tcPr>
          <w:p w14:paraId="01C4AE25">
            <w:pPr>
              <w:spacing w:after="200" w:line="276" w:lineRule="auto"/>
            </w:pPr>
            <w:r>
              <w:rPr>
                <w:rFonts w:ascii="Cambria" w:hAnsi="Cambria" w:eastAsia="ＭＳ 明朝" w:cs="Cambria" w:asciiTheme="minorHAnsi" w:hAnsiTheme="minorHAnsi" w:eastAsiaTheme="minorEastAsia" w:csTheme="minorBidi"/>
                <w:color w:val="374151"/>
                <w:sz w:val="20"/>
                <w:szCs w:val="22"/>
              </w:rPr>
              <w:t>50 to 100 students</w:t>
            </w:r>
          </w:p>
        </w:tc>
        <w:tc>
          <w:tcPr>
            <w:tcW w:w="2835" w:type="dxa"/>
            <w:tcBorders>
              <w:top w:val="single" w:sz="4" w:space="0" w:color="auto"/>
              <w:left w:val="single" w:sz="4" w:space="0" w:color="auto"/>
              <w:bottom w:val="single" w:sz="4" w:space="0" w:color="auto"/>
              <w:right w:val="single" w:sz="4" w:space="0" w:color="auto"/>
            </w:tcBorders>
            <w:shd w:val="clear" w:fill="F9F9F9"/>
            <w:tcMar>
              <w:top w:w="0" w:type="dxa"/>
              <w:left w:w="108" w:type="dxa"/>
              <w:bottom w:w="0" w:type="dxa"/>
              <w:right w:w="108" w:type="dxa"/>
            </w:tcMar>
          </w:tcPr>
          <w:p w14:paraId="5286744F">
            <w:pPr>
              <w:spacing w:after="200" w:line="276" w:lineRule="auto"/>
            </w:pPr>
            <w:r>
              <w:rPr>
                <w:rFonts w:ascii="Cambria" w:hAnsi="Cambria" w:eastAsia="ＭＳ 明朝" w:cs="Cambria" w:asciiTheme="minorHAnsi" w:hAnsiTheme="minorHAnsi" w:eastAsiaTheme="minorEastAsia" w:csTheme="minorBidi"/>
                <w:color w:val="374151"/>
                <w:sz w:val="20"/>
                <w:szCs w:val="22"/>
              </w:rPr>
              <w:t>~10–15 minutes</w:t>
            </w:r>
          </w:p>
        </w:tc>
      </w:tr>
    </w:tbl>
    <w:p w14:paraId="15248579">
      <w:pPr>
        <w:spacing w:after="160"/>
      </w:pPr>
      <w:r>
        <w:rPr>
          <w:rFonts w:ascii="Cambria" w:hAnsi="Cambria" w:eastAsia="ＭＳ 明朝" w:cs="Cambria" w:asciiTheme="minorHAnsi" w:hAnsiTheme="minorHAnsi" w:eastAsiaTheme="minorEastAsia" w:csTheme="minorBidi"/>
          <w:i/>
          <w:iCs/>
          <w:color w:val="374151"/>
          <w:sz w:val="20"/>
          <w:szCs w:val="22"/>
        </w:rPr>
        <w:t>Students would need to wait and refresh — the report card does not appear instantly.</w:t>
      </w:r>
    </w:p>
    <w:p w14:paraId="0A731070">
      <w:pPr>
        <w:pBdr>
          <w:bottom w:val="single" w:sz="6" w:space="1" w:color="C9A227"/>
        </w:pBdr>
        <w:spacing w:before="80" w:after="80"/>
      </w:pPr>
    </w:p>
    <w:p w14:paraId="640D8D18">
      <w:pPr>
        <w:spacing w:before="280" w:after="120"/>
      </w:pPr>
      <w:r>
        <w:rPr>
          <w:rFonts w:ascii="Cambria" w:hAnsi="Cambria" w:eastAsia="ＭＳ 明朝" w:cs="Cambria" w:asciiTheme="minorHAnsi" w:hAnsiTheme="minorHAnsi" w:eastAsiaTheme="minorEastAsia" w:csTheme="minorBidi"/>
          <w:b/>
          <w:bCs/>
          <w:color w:val="0B1D3A"/>
          <w:sz w:val="28"/>
          <w:szCs w:val="22"/>
        </w:rPr>
        <w:t>Option 2 — Use a Paid AI Service (Cloud API)</w:t>
      </w:r>
    </w:p>
    <w:p w14:paraId="0279A82E">
      <w:pPr>
        <w:spacing w:after="80"/>
      </w:pPr>
      <w:r>
        <w:rPr>
          <w:rFonts w:ascii="Cambria" w:hAnsi="Cambria" w:eastAsia="ＭＳ 明朝" w:cs="Cambria" w:asciiTheme="minorHAnsi" w:hAnsiTheme="minorHAnsi" w:eastAsiaTheme="minorEastAsia" w:csTheme="minorBidi"/>
          <w:color w:val="374151"/>
          <w:sz w:val="22"/>
          <w:szCs w:val="22"/>
        </w:rPr>
        <w:t>Instead of running AI on your server, you send the student's answers to a world-class AI service over the internet and get back a high-quality evaluation.</w:t>
      </w:r>
    </w:p>
    <w:p w14:paraId="4F5E4E91">
      <w:pPr>
        <w:spacing w:after="80"/>
      </w:pPr>
      <w:r>
        <w:rPr>
          <w:rFonts w:ascii="Cambria" w:hAnsi="Cambria" w:eastAsia="ＭＳ 明朝" w:cs="Cambria" w:asciiTheme="minorHAnsi" w:hAnsiTheme="minorHAnsi" w:eastAsiaTheme="minorEastAsia" w:csTheme="minorBidi"/>
          <w:b/>
          <w:bCs/>
          <w:color w:val="374151"/>
          <w:sz w:val="22"/>
          <w:szCs w:val="22"/>
        </w:rPr>
        <w:t>This is exactly how tools like ChatGPT, Google Gemini, and Claude work.</w:t>
      </w:r>
    </w:p>
    <w:p w14:paraId="270302CC">
      <w:pPr>
        <w:spacing w:before="120" w:after="120"/>
      </w:pPr>
      <w:r>
        <w:rPr>
          <w:rFonts w:ascii="Cambria" w:hAnsi="Cambria" w:eastAsia="ＭＳ 明朝" w:cs="Cambria" w:asciiTheme="minorHAnsi" w:hAnsiTheme="minorHAnsi" w:eastAsiaTheme="minorEastAsia" w:csTheme="minorBidi"/>
          <w:b/>
          <w:bCs/>
          <w:color w:val="16A34A"/>
          <w:sz w:val="24"/>
          <w:szCs w:val="22"/>
        </w:rPr>
        <w:t>What the report card looks like with a paid AI:</w:t>
      </w:r>
    </w:p>
    <w:p w14:paraId="045B476A">
      <w:pPr>
        <w:spacing w:after="120"/>
        <w:ind w:left="567"/>
      </w:pPr>
      <w:r>
        <w:rPr>
          <w:rFonts w:ascii="Cambria" w:hAnsi="Cambria" w:eastAsia="ＭＳ 明朝" w:cs="Cambria" w:asciiTheme="minorHAnsi" w:hAnsiTheme="minorHAnsi" w:eastAsiaTheme="minorEastAsia" w:csTheme="minorBidi"/>
          <w:i/>
          <w:iCs/>
          <w:color w:val="6B7280"/>
          <w:sz w:val="22"/>
          <w:szCs w:val="22"/>
        </w:rPr>
        <w:t>"In Question 2, the student correctly identified that declining profits are linked to rising input costs, however the analysis does not account for the impact of competitor pricing. The recommended action to cut marketing spend is risky given the current market share situation — a more balanced approach would be to first analyse customer retention data before reducing spend. Score: 6/10."</w:t>
      </w:r>
    </w:p>
    <w:p w14:paraId="4206A8D4">
      <w:pPr>
        <w:pStyle w:val="ListBullet"/>
        <w:spacing w:before="40" w:after="40"/>
        <w:ind w:left="360" w:hanging="360"/>
      </w:pPr>
      <w:r>
        <w:rPr>
          <w:rFonts w:ascii="Cambria" w:hAnsi="Cambria" w:eastAsia="ＭＳ 明朝" w:cs="Cambria" w:asciiTheme="minorHAnsi" w:hAnsiTheme="minorHAnsi" w:eastAsiaTheme="minorEastAsia" w:csTheme="minorBidi"/>
          <w:color w:val="374151"/>
          <w:sz w:val="22"/>
          <w:szCs w:val="22"/>
        </w:rPr>
        <w:t>Every student gets personalised, specific feedback</w:t>
      </w:r>
    </w:p>
    <w:p w14:paraId="67DD6F52">
      <w:pPr>
        <w:pStyle w:val="ListBullet"/>
        <w:spacing w:before="40" w:after="40"/>
        <w:ind w:left="360" w:hanging="360"/>
      </w:pPr>
      <w:r>
        <w:rPr>
          <w:rFonts w:ascii="Cambria" w:hAnsi="Cambria" w:eastAsia="ＭＳ 明朝" w:cs="Cambria" w:asciiTheme="minorHAnsi" w:hAnsiTheme="minorHAnsi" w:eastAsiaTheme="minorEastAsia" w:csTheme="minorBidi"/>
          <w:color w:val="374151"/>
          <w:sz w:val="22"/>
          <w:szCs w:val="22"/>
        </w:rPr>
        <w:t>Marks are consistent and match the rubric accurately</w:t>
      </w:r>
    </w:p>
    <w:p w14:paraId="624F436B">
      <w:pPr>
        <w:pStyle w:val="ListBullet"/>
        <w:spacing w:before="40" w:after="40"/>
        <w:ind w:left="360" w:hanging="360"/>
      </w:pPr>
      <w:r>
        <w:rPr>
          <w:rFonts w:ascii="Cambria" w:hAnsi="Cambria" w:eastAsia="ＭＳ 明朝" w:cs="Cambria" w:asciiTheme="minorHAnsi" w:hAnsiTheme="minorHAnsi" w:eastAsiaTheme="minorEastAsia" w:csTheme="minorBidi"/>
          <w:color w:val="374151"/>
          <w:sz w:val="22"/>
          <w:szCs w:val="22"/>
        </w:rPr>
        <w:t>Improvement suggestions are practical and case-specific</w:t>
      </w:r>
    </w:p>
    <w:p w14:paraId="45D494BF">
      <w:pPr>
        <w:pStyle w:val="ListBullet"/>
        <w:spacing w:before="40" w:after="40"/>
        <w:ind w:left="360" w:hanging="360"/>
      </w:pPr>
      <w:r>
        <w:rPr>
          <w:rFonts w:ascii="Cambria" w:hAnsi="Cambria" w:eastAsia="ＭＳ 明朝" w:cs="Cambria" w:asciiTheme="minorHAnsi" w:hAnsiTheme="minorHAnsi" w:eastAsiaTheme="minorEastAsia" w:csTheme="minorBidi"/>
          <w:color w:val="374151"/>
          <w:sz w:val="22"/>
          <w:szCs w:val="22"/>
        </w:rPr>
        <w:t>Students trust and learn from the evaluation</w:t>
      </w:r>
    </w:p>
    <w:p w14:paraId="196AAF8B">
      <w:pPr>
        <w:spacing w:before="160" w:after="120"/>
      </w:pPr>
      <w:r>
        <w:rPr>
          <w:rFonts w:ascii="Cambria" w:hAnsi="Cambria" w:eastAsia="ＭＳ 明朝" w:cs="Cambria" w:asciiTheme="minorHAnsi" w:hAnsiTheme="minorHAnsi" w:eastAsiaTheme="minorEastAsia" w:csTheme="minorBidi"/>
          <w:b/>
          <w:bCs/>
          <w:color w:val="0B1D3A"/>
          <w:sz w:val="24"/>
          <w:szCs w:val="22"/>
        </w:rPr>
        <w:t>Cost — Much less than expected</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2351"/>
        <w:gridCol w:w="2351"/>
        <w:gridCol w:w="2351"/>
        <w:gridCol w:w="2351"/>
      </w:tblGrid>
      <w:tr>
        <w:tc>
          <w:tcPr>
            <w:tcW w:w="1701" w:type="dxa"/>
            <w:tcBorders>
              <w:top w:val="single" w:sz="4" w:space="0" w:color="auto"/>
              <w:left w:val="single" w:sz="4" w:space="0" w:color="auto"/>
              <w:bottom w:val="single" w:sz="4" w:space="0" w:color="auto"/>
              <w:right w:val="single" w:sz="4" w:space="0" w:color="auto"/>
            </w:tcBorders>
            <w:shd w:val="clear" w:fill="0B1D3A"/>
            <w:tcMar>
              <w:top w:w="0" w:type="dxa"/>
              <w:left w:w="108" w:type="dxa"/>
              <w:bottom w:w="0" w:type="dxa"/>
              <w:right w:w="108" w:type="dxa"/>
            </w:tcMar>
          </w:tcPr>
          <w:p w14:paraId="1F31110A">
            <w:pPr>
              <w:jc w:val="center"/>
            </w:pPr>
            <w:r>
              <w:rPr>
                <w:rFonts w:ascii="Cambria" w:hAnsi="Cambria" w:eastAsia="ＭＳ 明朝" w:cs="Cambria" w:asciiTheme="minorHAnsi" w:hAnsiTheme="minorHAnsi" w:eastAsiaTheme="minorEastAsia" w:csTheme="minorBidi"/>
                <w:b/>
                <w:bCs/>
                <w:color w:val="FFFFFF"/>
                <w:sz w:val="18"/>
                <w:szCs w:val="22"/>
              </w:rPr>
              <w:t>Students / Month</w:t>
            </w:r>
          </w:p>
        </w:tc>
        <w:tc>
          <w:tcPr>
            <w:tcW w:w="3969" w:type="dxa"/>
            <w:tcBorders>
              <w:top w:val="single" w:sz="4" w:space="0" w:color="auto"/>
              <w:left w:val="single" w:sz="4" w:space="0" w:color="auto"/>
              <w:bottom w:val="single" w:sz="4" w:space="0" w:color="auto"/>
              <w:right w:val="single" w:sz="4" w:space="0" w:color="auto"/>
            </w:tcBorders>
            <w:shd w:val="clear" w:fill="0B1D3A"/>
            <w:tcMar>
              <w:top w:w="0" w:type="dxa"/>
              <w:left w:w="108" w:type="dxa"/>
              <w:bottom w:w="0" w:type="dxa"/>
              <w:right w:w="108" w:type="dxa"/>
            </w:tcMar>
          </w:tcPr>
          <w:p w14:paraId="2A400C3A">
            <w:pPr>
              <w:jc w:val="center"/>
            </w:pPr>
            <w:r>
              <w:rPr>
                <w:rFonts w:ascii="Cambria" w:hAnsi="Cambria" w:eastAsia="ＭＳ 明朝" w:cs="Cambria" w:asciiTheme="minorHAnsi" w:hAnsiTheme="minorHAnsi" w:eastAsiaTheme="minorEastAsia" w:csTheme="minorBidi"/>
                <w:b/>
                <w:bCs/>
                <w:color w:val="FFFFFF"/>
                <w:sz w:val="18"/>
                <w:szCs w:val="22"/>
              </w:rPr>
              <w:t>Assumption</w:t>
            </w:r>
          </w:p>
        </w:tc>
        <w:tc>
          <w:tcPr>
            <w:tcW w:w="1814" w:type="dxa"/>
            <w:tcBorders>
              <w:top w:val="single" w:sz="4" w:space="0" w:color="auto"/>
              <w:left w:val="single" w:sz="4" w:space="0" w:color="auto"/>
              <w:bottom w:val="single" w:sz="4" w:space="0" w:color="auto"/>
              <w:right w:val="single" w:sz="4" w:space="0" w:color="auto"/>
            </w:tcBorders>
            <w:shd w:val="clear" w:fill="0B1D3A"/>
            <w:tcMar>
              <w:top w:w="0" w:type="dxa"/>
              <w:left w:w="108" w:type="dxa"/>
              <w:bottom w:w="0" w:type="dxa"/>
              <w:right w:w="108" w:type="dxa"/>
            </w:tcMar>
          </w:tcPr>
          <w:p w14:paraId="0E858C08">
            <w:pPr>
              <w:jc w:val="center"/>
            </w:pPr>
            <w:r>
              <w:rPr>
                <w:rFonts w:ascii="Cambria" w:hAnsi="Cambria" w:eastAsia="ＭＳ 明朝" w:cs="Cambria" w:asciiTheme="minorHAnsi" w:hAnsiTheme="minorHAnsi" w:eastAsiaTheme="minorEastAsia" w:csTheme="minorBidi"/>
                <w:b/>
                <w:bCs/>
                <w:color w:val="FFFFFF"/>
                <w:sz w:val="18"/>
                <w:szCs w:val="22"/>
              </w:rPr>
              <w:t>Gemini Flash (₹)</w:t>
            </w:r>
          </w:p>
        </w:tc>
        <w:tc>
          <w:tcPr>
            <w:tcW w:w="1814" w:type="dxa"/>
            <w:tcBorders>
              <w:top w:val="single" w:sz="4" w:space="0" w:color="auto"/>
              <w:left w:val="single" w:sz="4" w:space="0" w:color="auto"/>
              <w:bottom w:val="single" w:sz="4" w:space="0" w:color="auto"/>
              <w:right w:val="single" w:sz="4" w:space="0" w:color="auto"/>
            </w:tcBorders>
            <w:shd w:val="clear" w:fill="0B1D3A"/>
            <w:tcMar>
              <w:top w:w="0" w:type="dxa"/>
              <w:left w:w="108" w:type="dxa"/>
              <w:bottom w:w="0" w:type="dxa"/>
              <w:right w:w="108" w:type="dxa"/>
            </w:tcMar>
          </w:tcPr>
          <w:p w14:paraId="4E436EE3">
            <w:pPr>
              <w:jc w:val="center"/>
            </w:pPr>
            <w:r>
              <w:rPr>
                <w:rFonts w:ascii="Cambria" w:hAnsi="Cambria" w:eastAsia="ＭＳ 明朝" w:cs="Cambria" w:asciiTheme="minorHAnsi" w:hAnsiTheme="minorHAnsi" w:eastAsiaTheme="minorEastAsia" w:csTheme="minorBidi"/>
                <w:b/>
                <w:bCs/>
                <w:color w:val="FFFFFF"/>
                <w:sz w:val="18"/>
                <w:szCs w:val="22"/>
              </w:rPr>
              <w:t>GPT-4o Mini (₹)</w:t>
            </w:r>
          </w:p>
        </w:tc>
      </w:tr>
      <w:tr>
        <w:tc>
          <w:tcPr>
            <w:tcW w:w="1701" w:type="dxa"/>
            <w:tcBorders>
              <w:top w:val="single" w:sz="4" w:space="0" w:color="auto"/>
              <w:left w:val="single" w:sz="4" w:space="0" w:color="auto"/>
              <w:bottom w:val="single" w:sz="4" w:space="0" w:color="auto"/>
              <w:right w:val="single" w:sz="4" w:space="0" w:color="auto"/>
            </w:tcBorders>
            <w:shd w:val="clear" w:fill="F9F9F9"/>
            <w:tcMar>
              <w:top w:w="0" w:type="dxa"/>
              <w:left w:w="108" w:type="dxa"/>
              <w:bottom w:w="0" w:type="dxa"/>
              <w:right w:w="108" w:type="dxa"/>
            </w:tcMar>
          </w:tcPr>
          <w:p w14:paraId="1E3132BC">
            <w:pPr>
              <w:spacing w:after="200" w:line="276" w:lineRule="auto"/>
            </w:pPr>
            <w:r>
              <w:rPr>
                <w:rFonts w:ascii="Cambria" w:hAnsi="Cambria" w:eastAsia="ＭＳ 明朝" w:cs="Cambria" w:asciiTheme="minorHAnsi" w:hAnsiTheme="minorHAnsi" w:eastAsiaTheme="minorEastAsia" w:csTheme="minorBidi"/>
                <w:b/>
                <w:bCs/>
                <w:color w:val="374151"/>
                <w:sz w:val="18"/>
                <w:szCs w:val="22"/>
              </w:rPr>
              <w:t>100 students</w:t>
            </w:r>
          </w:p>
        </w:tc>
        <w:tc>
          <w:tcPr>
            <w:tcW w:w="3969" w:type="dxa"/>
            <w:tcBorders>
              <w:top w:val="single" w:sz="4" w:space="0" w:color="auto"/>
              <w:left w:val="single" w:sz="4" w:space="0" w:color="auto"/>
              <w:bottom w:val="single" w:sz="4" w:space="0" w:color="auto"/>
              <w:right w:val="single" w:sz="4" w:space="0" w:color="auto"/>
            </w:tcBorders>
            <w:shd w:val="clear" w:fill="F9F9F9"/>
            <w:tcMar>
              <w:top w:w="0" w:type="dxa"/>
              <w:left w:w="108" w:type="dxa"/>
              <w:bottom w:w="0" w:type="dxa"/>
              <w:right w:w="108" w:type="dxa"/>
            </w:tcMar>
          </w:tcPr>
          <w:p w14:paraId="67144B4C">
            <w:pPr>
              <w:spacing w:after="200" w:line="276" w:lineRule="auto"/>
            </w:pPr>
            <w:r>
              <w:rPr>
                <w:rFonts w:ascii="Cambria" w:hAnsi="Cambria" w:eastAsia="ＭＳ 明朝" w:cs="Cambria" w:asciiTheme="minorHAnsi" w:hAnsiTheme="minorHAnsi" w:eastAsiaTheme="minorEastAsia" w:csTheme="minorBidi"/>
                <w:color w:val="374151"/>
                <w:sz w:val="18"/>
                <w:szCs w:val="22"/>
              </w:rPr>
              <w:t>12–18 evaluations/student + Faculty case generation</w:t>
            </w:r>
          </w:p>
        </w:tc>
        <w:tc>
          <w:tcPr>
            <w:tcW w:w="1814" w:type="dxa"/>
            <w:tcBorders>
              <w:top w:val="single" w:sz="4" w:space="0" w:color="auto"/>
              <w:left w:val="single" w:sz="4" w:space="0" w:color="auto"/>
              <w:bottom w:val="single" w:sz="4" w:space="0" w:color="auto"/>
              <w:right w:val="single" w:sz="4" w:space="0" w:color="auto"/>
            </w:tcBorders>
            <w:shd w:val="clear" w:fill="F9F9F9"/>
            <w:tcMar>
              <w:top w:w="0" w:type="dxa"/>
              <w:left w:w="108" w:type="dxa"/>
              <w:bottom w:w="0" w:type="dxa"/>
              <w:right w:w="108" w:type="dxa"/>
            </w:tcMar>
          </w:tcPr>
          <w:p w14:paraId="5D4ED059">
            <w:pPr>
              <w:jc w:val="center"/>
            </w:pPr>
            <w:r>
              <w:rPr>
                <w:rFonts w:ascii="Cambria" w:hAnsi="Cambria" w:eastAsia="ＭＳ 明朝" w:cs="Cambria" w:asciiTheme="minorHAnsi" w:hAnsiTheme="minorHAnsi" w:eastAsiaTheme="minorEastAsia" w:csTheme="minorBidi"/>
                <w:color w:val="374151"/>
                <w:sz w:val="18"/>
                <w:szCs w:val="22"/>
              </w:rPr>
              <w:t>₹150 – ₹220</w:t>
            </w:r>
          </w:p>
        </w:tc>
        <w:tc>
          <w:tcPr>
            <w:tcW w:w="1814" w:type="dxa"/>
            <w:tcBorders>
              <w:top w:val="single" w:sz="4" w:space="0" w:color="auto"/>
              <w:left w:val="single" w:sz="4" w:space="0" w:color="auto"/>
              <w:bottom w:val="single" w:sz="4" w:space="0" w:color="auto"/>
              <w:right w:val="single" w:sz="4" w:space="0" w:color="auto"/>
            </w:tcBorders>
            <w:shd w:val="clear" w:fill="F9F9F9"/>
            <w:tcMar>
              <w:top w:w="0" w:type="dxa"/>
              <w:left w:w="108" w:type="dxa"/>
              <w:bottom w:w="0" w:type="dxa"/>
              <w:right w:w="108" w:type="dxa"/>
            </w:tcMar>
          </w:tcPr>
          <w:p w14:paraId="3F99139B">
            <w:pPr>
              <w:jc w:val="center"/>
            </w:pPr>
            <w:r>
              <w:rPr>
                <w:rFonts w:ascii="Cambria" w:hAnsi="Cambria" w:eastAsia="ＭＳ 明朝" w:cs="Cambria" w:asciiTheme="minorHAnsi" w:hAnsiTheme="minorHAnsi" w:eastAsiaTheme="minorEastAsia" w:csTheme="minorBidi"/>
                <w:color w:val="374151"/>
                <w:sz w:val="18"/>
                <w:szCs w:val="22"/>
              </w:rPr>
              <w:t>₹200 – ₹300</w:t>
            </w:r>
          </w:p>
        </w:tc>
      </w:tr>
      <w:tr>
        <w:tc>
          <w:tcPr>
            <w:tcW w:w="170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tcPr>
          <w:p w14:paraId="6909B0F3">
            <w:pPr>
              <w:spacing w:after="200" w:line="276" w:lineRule="auto"/>
            </w:pPr>
            <w:r>
              <w:rPr>
                <w:rFonts w:ascii="Cambria" w:hAnsi="Cambria" w:eastAsia="ＭＳ 明朝" w:cs="Cambria" w:asciiTheme="minorHAnsi" w:hAnsiTheme="minorHAnsi" w:eastAsiaTheme="minorEastAsia" w:csTheme="minorBidi"/>
                <w:b/>
                <w:bCs/>
                <w:color w:val="374151"/>
                <w:sz w:val="18"/>
                <w:szCs w:val="22"/>
              </w:rPr>
              <w:t>500 students</w:t>
            </w:r>
          </w:p>
        </w:tc>
        <w:tc>
          <w:tcPr>
            <w:tcW w:w="3969"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tcPr>
          <w:p w14:paraId="6842A85D">
            <w:pPr>
              <w:spacing w:after="200" w:line="276" w:lineRule="auto"/>
            </w:pPr>
            <w:r>
              <w:rPr>
                <w:rFonts w:ascii="Cambria" w:hAnsi="Cambria" w:eastAsia="ＭＳ 明朝" w:cs="Cambria" w:asciiTheme="minorHAnsi" w:hAnsiTheme="minorHAnsi" w:eastAsiaTheme="minorEastAsia" w:csTheme="minorBidi"/>
                <w:color w:val="374151"/>
                <w:sz w:val="18"/>
                <w:szCs w:val="22"/>
              </w:rPr>
              <w:t>12–18 evaluations/student + Faculty case generation</w:t>
            </w:r>
          </w:p>
        </w:tc>
        <w:tc>
          <w:tcPr>
            <w:tcW w:w="1814"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tcPr>
          <w:p w14:paraId="655E5392">
            <w:pPr>
              <w:jc w:val="center"/>
            </w:pPr>
            <w:r>
              <w:rPr>
                <w:rFonts w:ascii="Cambria" w:hAnsi="Cambria" w:eastAsia="ＭＳ 明朝" w:cs="Cambria" w:asciiTheme="minorHAnsi" w:hAnsiTheme="minorHAnsi" w:eastAsiaTheme="minorEastAsia" w:csTheme="minorBidi"/>
                <w:color w:val="374151"/>
                <w:sz w:val="18"/>
                <w:szCs w:val="22"/>
              </w:rPr>
              <w:t>₹750 – ₹1,100</w:t>
            </w:r>
          </w:p>
        </w:tc>
        <w:tc>
          <w:tcPr>
            <w:tcW w:w="1814"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tcPr>
          <w:p w14:paraId="5855B7B6">
            <w:pPr>
              <w:jc w:val="center"/>
            </w:pPr>
            <w:r>
              <w:rPr>
                <w:rFonts w:ascii="Cambria" w:hAnsi="Cambria" w:eastAsia="ＭＳ 明朝" w:cs="Cambria" w:asciiTheme="minorHAnsi" w:hAnsiTheme="minorHAnsi" w:eastAsiaTheme="minorEastAsia" w:csTheme="minorBidi"/>
                <w:color w:val="374151"/>
                <w:sz w:val="18"/>
                <w:szCs w:val="22"/>
              </w:rPr>
              <w:t>₹1,000 – ₹1,500</w:t>
            </w:r>
          </w:p>
        </w:tc>
      </w:tr>
      <w:tr>
        <w:tc>
          <w:tcPr>
            <w:tcW w:w="1701" w:type="dxa"/>
            <w:tcBorders>
              <w:top w:val="single" w:sz="4" w:space="0" w:color="auto"/>
              <w:left w:val="single" w:sz="4" w:space="0" w:color="auto"/>
              <w:bottom w:val="single" w:sz="4" w:space="0" w:color="auto"/>
              <w:right w:val="single" w:sz="4" w:space="0" w:color="auto"/>
            </w:tcBorders>
            <w:shd w:val="clear" w:fill="F9F9F9"/>
            <w:tcMar>
              <w:top w:w="0" w:type="dxa"/>
              <w:left w:w="108" w:type="dxa"/>
              <w:bottom w:w="0" w:type="dxa"/>
              <w:right w:w="108" w:type="dxa"/>
            </w:tcMar>
          </w:tcPr>
          <w:p w14:paraId="4C60C1EE">
            <w:pPr>
              <w:spacing w:after="200" w:line="276" w:lineRule="auto"/>
            </w:pPr>
            <w:r>
              <w:rPr>
                <w:rFonts w:ascii="Cambria" w:hAnsi="Cambria" w:eastAsia="ＭＳ 明朝" w:cs="Cambria" w:asciiTheme="minorHAnsi" w:hAnsiTheme="minorHAnsi" w:eastAsiaTheme="minorEastAsia" w:csTheme="minorBidi"/>
                <w:b/>
                <w:bCs/>
                <w:color w:val="374151"/>
                <w:sz w:val="18"/>
                <w:szCs w:val="22"/>
              </w:rPr>
              <w:t>1,000 students</w:t>
            </w:r>
          </w:p>
        </w:tc>
        <w:tc>
          <w:tcPr>
            <w:tcW w:w="3969" w:type="dxa"/>
            <w:tcBorders>
              <w:top w:val="single" w:sz="4" w:space="0" w:color="auto"/>
              <w:left w:val="single" w:sz="4" w:space="0" w:color="auto"/>
              <w:bottom w:val="single" w:sz="4" w:space="0" w:color="auto"/>
              <w:right w:val="single" w:sz="4" w:space="0" w:color="auto"/>
            </w:tcBorders>
            <w:shd w:val="clear" w:fill="F9F9F9"/>
            <w:tcMar>
              <w:top w:w="0" w:type="dxa"/>
              <w:left w:w="108" w:type="dxa"/>
              <w:bottom w:w="0" w:type="dxa"/>
              <w:right w:w="108" w:type="dxa"/>
            </w:tcMar>
          </w:tcPr>
          <w:p w14:paraId="0ABD8953">
            <w:pPr>
              <w:spacing w:after="200" w:line="276" w:lineRule="auto"/>
            </w:pPr>
            <w:r>
              <w:rPr>
                <w:rFonts w:ascii="Cambria" w:hAnsi="Cambria" w:eastAsia="ＭＳ 明朝" w:cs="Cambria" w:asciiTheme="minorHAnsi" w:hAnsiTheme="minorHAnsi" w:eastAsiaTheme="minorEastAsia" w:csTheme="minorBidi"/>
                <w:color w:val="374151"/>
                <w:sz w:val="18"/>
                <w:szCs w:val="22"/>
              </w:rPr>
              <w:t>12–18 evaluations/student + Faculty case generation</w:t>
            </w:r>
          </w:p>
        </w:tc>
        <w:tc>
          <w:tcPr>
            <w:tcW w:w="1814" w:type="dxa"/>
            <w:tcBorders>
              <w:top w:val="single" w:sz="4" w:space="0" w:color="auto"/>
              <w:left w:val="single" w:sz="4" w:space="0" w:color="auto"/>
              <w:bottom w:val="single" w:sz="4" w:space="0" w:color="auto"/>
              <w:right w:val="single" w:sz="4" w:space="0" w:color="auto"/>
            </w:tcBorders>
            <w:shd w:val="clear" w:fill="F9F9F9"/>
            <w:tcMar>
              <w:top w:w="0" w:type="dxa"/>
              <w:left w:w="108" w:type="dxa"/>
              <w:bottom w:w="0" w:type="dxa"/>
              <w:right w:w="108" w:type="dxa"/>
            </w:tcMar>
          </w:tcPr>
          <w:p w14:paraId="262F48EF">
            <w:pPr>
              <w:jc w:val="center"/>
            </w:pPr>
            <w:r>
              <w:rPr>
                <w:rFonts w:ascii="Cambria" w:hAnsi="Cambria" w:eastAsia="ＭＳ 明朝" w:cs="Cambria" w:asciiTheme="minorHAnsi" w:hAnsiTheme="minorHAnsi" w:eastAsiaTheme="minorEastAsia" w:csTheme="minorBidi"/>
                <w:color w:val="374151"/>
                <w:sz w:val="18"/>
                <w:szCs w:val="22"/>
              </w:rPr>
              <w:t>₹1,500 – ₹2,200</w:t>
            </w:r>
          </w:p>
        </w:tc>
        <w:tc>
          <w:tcPr>
            <w:tcW w:w="1814" w:type="dxa"/>
            <w:tcBorders>
              <w:top w:val="single" w:sz="4" w:space="0" w:color="auto"/>
              <w:left w:val="single" w:sz="4" w:space="0" w:color="auto"/>
              <w:bottom w:val="single" w:sz="4" w:space="0" w:color="auto"/>
              <w:right w:val="single" w:sz="4" w:space="0" w:color="auto"/>
            </w:tcBorders>
            <w:shd w:val="clear" w:fill="F9F9F9"/>
            <w:tcMar>
              <w:top w:w="0" w:type="dxa"/>
              <w:left w:w="108" w:type="dxa"/>
              <w:bottom w:w="0" w:type="dxa"/>
              <w:right w:w="108" w:type="dxa"/>
            </w:tcMar>
          </w:tcPr>
          <w:p w14:paraId="09C624DC">
            <w:pPr>
              <w:jc w:val="center"/>
            </w:pPr>
            <w:r>
              <w:rPr>
                <w:rFonts w:ascii="Cambria" w:hAnsi="Cambria" w:eastAsia="ＭＳ 明朝" w:cs="Cambria" w:asciiTheme="minorHAnsi" w:hAnsiTheme="minorHAnsi" w:eastAsiaTheme="minorEastAsia" w:csTheme="minorBidi"/>
                <w:color w:val="374151"/>
                <w:sz w:val="18"/>
                <w:szCs w:val="22"/>
              </w:rPr>
              <w:t>₹2,000 – ₹3,000</w:t>
            </w:r>
          </w:p>
        </w:tc>
      </w:tr>
      <w:tr>
        <w:tc>
          <w:tcPr>
            <w:tcW w:w="1701"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tcPr>
          <w:p w14:paraId="5E6AF9F8">
            <w:pPr>
              <w:spacing w:after="200" w:line="276" w:lineRule="auto"/>
            </w:pPr>
            <w:r>
              <w:rPr>
                <w:rFonts w:ascii="Cambria" w:hAnsi="Cambria" w:eastAsia="ＭＳ 明朝" w:cs="Cambria" w:asciiTheme="minorHAnsi" w:hAnsiTheme="minorHAnsi" w:eastAsiaTheme="minorEastAsia" w:csTheme="minorBidi"/>
                <w:b/>
                <w:bCs/>
                <w:color w:val="374151"/>
                <w:sz w:val="18"/>
                <w:szCs w:val="22"/>
              </w:rPr>
              <w:t>3,000 students</w:t>
            </w:r>
          </w:p>
        </w:tc>
        <w:tc>
          <w:tcPr>
            <w:tcW w:w="3969"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tcPr>
          <w:p w14:paraId="63E7E464">
            <w:pPr>
              <w:spacing w:after="200" w:line="276" w:lineRule="auto"/>
            </w:pPr>
            <w:r>
              <w:rPr>
                <w:rFonts w:ascii="Cambria" w:hAnsi="Cambria" w:eastAsia="ＭＳ 明朝" w:cs="Cambria" w:asciiTheme="minorHAnsi" w:hAnsiTheme="minorHAnsi" w:eastAsiaTheme="minorEastAsia" w:csTheme="minorBidi"/>
                <w:color w:val="374151"/>
                <w:sz w:val="18"/>
                <w:szCs w:val="22"/>
              </w:rPr>
              <w:t>12–18 evaluations + 200–500 AI cases/month (50 fac.)</w:t>
            </w:r>
          </w:p>
        </w:tc>
        <w:tc>
          <w:tcPr>
            <w:tcW w:w="1814"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tcPr>
          <w:p w14:paraId="4BB5BFD2">
            <w:pPr>
              <w:jc w:val="center"/>
            </w:pPr>
            <w:r>
              <w:rPr>
                <w:rFonts w:ascii="Cambria" w:hAnsi="Cambria" w:eastAsia="ＭＳ 明朝" w:cs="Cambria" w:asciiTheme="minorHAnsi" w:hAnsiTheme="minorHAnsi" w:eastAsiaTheme="minorEastAsia" w:csTheme="minorBidi"/>
                <w:color w:val="374151"/>
                <w:sz w:val="18"/>
                <w:szCs w:val="22"/>
              </w:rPr>
              <w:t>₹4,500 – ₹6,600</w:t>
            </w:r>
          </w:p>
        </w:tc>
        <w:tc>
          <w:tcPr>
            <w:tcW w:w="1814"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tcPr>
          <w:p w14:paraId="2B500166">
            <w:pPr>
              <w:jc w:val="center"/>
            </w:pPr>
            <w:r>
              <w:rPr>
                <w:rFonts w:ascii="Cambria" w:hAnsi="Cambria" w:eastAsia="ＭＳ 明朝" w:cs="Cambria" w:asciiTheme="minorHAnsi" w:hAnsiTheme="minorHAnsi" w:eastAsiaTheme="minorEastAsia" w:csTheme="minorBidi"/>
                <w:color w:val="374151"/>
                <w:sz w:val="18"/>
                <w:szCs w:val="22"/>
              </w:rPr>
              <w:t>₹6,000 – ₹9,000</w:t>
            </w:r>
          </w:p>
        </w:tc>
      </w:tr>
      <w:tr>
        <w:tc>
          <w:tcPr>
            <w:tcW w:w="1701" w:type="dxa"/>
            <w:tcBorders>
              <w:top w:val="single" w:sz="4" w:space="0" w:color="auto"/>
              <w:left w:val="single" w:sz="4" w:space="0" w:color="auto"/>
              <w:bottom w:val="single" w:sz="4" w:space="0" w:color="auto"/>
              <w:right w:val="single" w:sz="4" w:space="0" w:color="auto"/>
            </w:tcBorders>
            <w:shd w:val="clear" w:fill="F9F9F9"/>
            <w:tcMar>
              <w:top w:w="0" w:type="dxa"/>
              <w:left w:w="108" w:type="dxa"/>
              <w:bottom w:w="0" w:type="dxa"/>
              <w:right w:w="108" w:type="dxa"/>
            </w:tcMar>
          </w:tcPr>
          <w:p w14:paraId="6E2BEF9A">
            <w:pPr>
              <w:spacing w:after="200" w:line="276" w:lineRule="auto"/>
            </w:pPr>
            <w:r>
              <w:rPr>
                <w:rFonts w:ascii="Cambria" w:hAnsi="Cambria" w:eastAsia="ＭＳ 明朝" w:cs="Cambria" w:asciiTheme="minorHAnsi" w:hAnsiTheme="minorHAnsi" w:eastAsiaTheme="minorEastAsia" w:csTheme="minorBidi"/>
                <w:b/>
                <w:bCs/>
                <w:color w:val="374151"/>
                <w:sz w:val="18"/>
                <w:szCs w:val="22"/>
              </w:rPr>
              <w:t>5,000 students</w:t>
            </w:r>
          </w:p>
        </w:tc>
        <w:tc>
          <w:tcPr>
            <w:tcW w:w="3969" w:type="dxa"/>
            <w:tcBorders>
              <w:top w:val="single" w:sz="4" w:space="0" w:color="auto"/>
              <w:left w:val="single" w:sz="4" w:space="0" w:color="auto"/>
              <w:bottom w:val="single" w:sz="4" w:space="0" w:color="auto"/>
              <w:right w:val="single" w:sz="4" w:space="0" w:color="auto"/>
            </w:tcBorders>
            <w:shd w:val="clear" w:fill="F9F9F9"/>
            <w:tcMar>
              <w:top w:w="0" w:type="dxa"/>
              <w:left w:w="108" w:type="dxa"/>
              <w:bottom w:w="0" w:type="dxa"/>
              <w:right w:w="108" w:type="dxa"/>
            </w:tcMar>
          </w:tcPr>
          <w:p w14:paraId="27B9A1F5">
            <w:pPr>
              <w:spacing w:after="200" w:line="276" w:lineRule="auto"/>
            </w:pPr>
            <w:r>
              <w:rPr>
                <w:rFonts w:ascii="Cambria" w:hAnsi="Cambria" w:eastAsia="ＭＳ 明朝" w:cs="Cambria" w:asciiTheme="minorHAnsi" w:hAnsiTheme="minorHAnsi" w:eastAsiaTheme="minorEastAsia" w:csTheme="minorBidi"/>
                <w:color w:val="374151"/>
                <w:sz w:val="18"/>
                <w:szCs w:val="22"/>
              </w:rPr>
              <w:t>12–18 evaluations + Scaled faculty case generation</w:t>
            </w:r>
          </w:p>
        </w:tc>
        <w:tc>
          <w:tcPr>
            <w:tcW w:w="1814" w:type="dxa"/>
            <w:tcBorders>
              <w:top w:val="single" w:sz="4" w:space="0" w:color="auto"/>
              <w:left w:val="single" w:sz="4" w:space="0" w:color="auto"/>
              <w:bottom w:val="single" w:sz="4" w:space="0" w:color="auto"/>
              <w:right w:val="single" w:sz="4" w:space="0" w:color="auto"/>
            </w:tcBorders>
            <w:shd w:val="clear" w:fill="F9F9F9"/>
            <w:tcMar>
              <w:top w:w="0" w:type="dxa"/>
              <w:left w:w="108" w:type="dxa"/>
              <w:bottom w:w="0" w:type="dxa"/>
              <w:right w:w="108" w:type="dxa"/>
            </w:tcMar>
          </w:tcPr>
          <w:p w14:paraId="4C7F50BA">
            <w:pPr>
              <w:jc w:val="center"/>
            </w:pPr>
            <w:r>
              <w:rPr>
                <w:rFonts w:ascii="Cambria" w:hAnsi="Cambria" w:eastAsia="ＭＳ 明朝" w:cs="Cambria" w:asciiTheme="minorHAnsi" w:hAnsiTheme="minorHAnsi" w:eastAsiaTheme="minorEastAsia" w:csTheme="minorBidi"/>
                <w:color w:val="374151"/>
                <w:sz w:val="18"/>
                <w:szCs w:val="22"/>
              </w:rPr>
              <w:t>₹7,500 – ₹11,000</w:t>
            </w:r>
          </w:p>
        </w:tc>
        <w:tc>
          <w:tcPr>
            <w:tcW w:w="1814" w:type="dxa"/>
            <w:tcBorders>
              <w:top w:val="single" w:sz="4" w:space="0" w:color="auto"/>
              <w:left w:val="single" w:sz="4" w:space="0" w:color="auto"/>
              <w:bottom w:val="single" w:sz="4" w:space="0" w:color="auto"/>
              <w:right w:val="single" w:sz="4" w:space="0" w:color="auto"/>
            </w:tcBorders>
            <w:shd w:val="clear" w:fill="F9F9F9"/>
            <w:tcMar>
              <w:top w:w="0" w:type="dxa"/>
              <w:left w:w="108" w:type="dxa"/>
              <w:bottom w:w="0" w:type="dxa"/>
              <w:right w:w="108" w:type="dxa"/>
            </w:tcMar>
          </w:tcPr>
          <w:p w14:paraId="06363ACB">
            <w:pPr>
              <w:jc w:val="center"/>
            </w:pPr>
            <w:r>
              <w:rPr>
                <w:rFonts w:ascii="Cambria" w:hAnsi="Cambria" w:eastAsia="ＭＳ 明朝" w:cs="Cambria" w:asciiTheme="minorHAnsi" w:hAnsiTheme="minorHAnsi" w:eastAsiaTheme="minorEastAsia" w:csTheme="minorBidi"/>
                <w:color w:val="374151"/>
                <w:sz w:val="18"/>
                <w:szCs w:val="22"/>
              </w:rPr>
              <w:t>₹10,000 – ₹15,000</w:t>
            </w:r>
          </w:p>
        </w:tc>
      </w:tr>
    </w:tbl>
    <w:p w14:paraId="4F9008BB">
      <w:pPr>
        <w:spacing w:after="160"/>
      </w:pPr>
      <w:r>
        <w:rPr>
          <w:rFonts w:ascii="Cambria" w:hAnsi="Cambria" w:eastAsia="ＭＳ 明朝" w:cs="Cambria" w:asciiTheme="minorHAnsi" w:hAnsiTheme="minorHAnsi" w:eastAsiaTheme="minorEastAsia" w:csTheme="minorBidi"/>
          <w:i/>
          <w:iCs/>
          <w:color w:val="374151"/>
          <w:sz w:val="20"/>
          <w:szCs w:val="22"/>
        </w:rPr>
        <w:t>These costs are per month, for all students combined — not per student.</w:t>
      </w:r>
    </w:p>
    <w:p w14:paraId="21C2320E">
      <w:pPr>
        <w:pBdr>
          <w:bottom w:val="single" w:sz="6" w:space="1" w:color="C9A227"/>
        </w:pBdr>
        <w:spacing w:before="80" w:after="80"/>
      </w:pPr>
    </w:p>
    <w:p w14:paraId="7B9FD021">
      <w:pPr>
        <w:spacing w:before="280" w:after="120"/>
      </w:pPr>
      <w:r>
        <w:rPr>
          <w:rFonts w:ascii="Cambria" w:hAnsi="Cambria" w:eastAsia="ＭＳ 明朝" w:cs="Cambria" w:asciiTheme="minorHAnsi" w:hAnsiTheme="minorHAnsi" w:eastAsiaTheme="minorEastAsia" w:csTheme="minorBidi"/>
          <w:b/>
          <w:bCs/>
          <w:color w:val="0B1D3A"/>
          <w:sz w:val="28"/>
          <w:szCs w:val="22"/>
        </w:rPr>
        <w:t>Side-by-Side Comparison</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3135"/>
        <w:gridCol w:w="3135"/>
        <w:gridCol w:w="3135"/>
      </w:tblGrid>
      <w:tr>
        <w:tc>
          <w:tcPr>
            <w:tcW w:w="2835" w:type="dxa"/>
            <w:tcBorders>
              <w:top w:val="single" w:sz="4" w:space="0" w:color="auto"/>
              <w:left w:val="single" w:sz="4" w:space="0" w:color="auto"/>
              <w:bottom w:val="single" w:sz="4" w:space="0" w:color="auto"/>
              <w:right w:val="single" w:sz="4" w:space="0" w:color="auto"/>
            </w:tcBorders>
            <w:shd w:val="clear" w:fill="0B1D3A"/>
            <w:tcMar>
              <w:top w:w="0" w:type="dxa"/>
              <w:left w:w="108" w:type="dxa"/>
              <w:bottom w:w="0" w:type="dxa"/>
              <w:right w:w="108" w:type="dxa"/>
            </w:tcMar>
          </w:tcPr>
          <w:p w14:paraId="45113355">
            <w:pPr>
              <w:jc w:val="center"/>
            </w:pPr>
            <w:r>
              <w:rPr>
                <w:rFonts w:ascii="Cambria" w:hAnsi="Cambria" w:eastAsia="ＭＳ 明朝" w:cs="Cambria" w:asciiTheme="minorHAnsi" w:hAnsiTheme="minorHAnsi" w:eastAsiaTheme="minorEastAsia" w:csTheme="minorBidi"/>
                <w:b/>
                <w:bCs/>
                <w:color w:val="FFFFFF"/>
                <w:sz w:val="20"/>
                <w:szCs w:val="22"/>
              </w:rPr>
              <w:t>Feature</w:t>
            </w:r>
          </w:p>
        </w:tc>
        <w:tc>
          <w:tcPr>
            <w:tcW w:w="3288" w:type="dxa"/>
            <w:tcBorders>
              <w:top w:val="single" w:sz="4" w:space="0" w:color="auto"/>
              <w:left w:val="single" w:sz="4" w:space="0" w:color="auto"/>
              <w:bottom w:val="single" w:sz="4" w:space="0" w:color="auto"/>
              <w:right w:val="single" w:sz="4" w:space="0" w:color="auto"/>
            </w:tcBorders>
            <w:shd w:val="clear" w:fill="0B1D3A"/>
            <w:tcMar>
              <w:top w:w="0" w:type="dxa"/>
              <w:left w:w="108" w:type="dxa"/>
              <w:bottom w:w="0" w:type="dxa"/>
              <w:right w:w="108" w:type="dxa"/>
            </w:tcMar>
          </w:tcPr>
          <w:p w14:paraId="09B4B37F">
            <w:pPr>
              <w:jc w:val="center"/>
            </w:pPr>
            <w:r>
              <w:rPr>
                <w:rFonts w:ascii="Cambria" w:hAnsi="Cambria" w:eastAsia="ＭＳ 明朝" w:cs="Cambria" w:asciiTheme="minorHAnsi" w:hAnsiTheme="minorHAnsi" w:eastAsiaTheme="minorEastAsia" w:csTheme="minorBidi"/>
                <w:b/>
                <w:bCs/>
                <w:color w:val="FFFFFF"/>
                <w:sz w:val="20"/>
                <w:szCs w:val="22"/>
              </w:rPr>
              <w:t>Local AI (Qwen 7B)</w:t>
            </w:r>
          </w:p>
        </w:tc>
        <w:tc>
          <w:tcPr>
            <w:tcW w:w="3288" w:type="dxa"/>
            <w:tcBorders>
              <w:top w:val="single" w:sz="4" w:space="0" w:color="auto"/>
              <w:left w:val="single" w:sz="4" w:space="0" w:color="auto"/>
              <w:bottom w:val="single" w:sz="4" w:space="0" w:color="auto"/>
              <w:right w:val="single" w:sz="4" w:space="0" w:color="auto"/>
            </w:tcBorders>
            <w:shd w:val="clear" w:fill="0B1D3A"/>
            <w:tcMar>
              <w:top w:w="0" w:type="dxa"/>
              <w:left w:w="108" w:type="dxa"/>
              <w:bottom w:w="0" w:type="dxa"/>
              <w:right w:w="108" w:type="dxa"/>
            </w:tcMar>
          </w:tcPr>
          <w:p w14:paraId="14372F22">
            <w:pPr>
              <w:jc w:val="center"/>
            </w:pPr>
            <w:r>
              <w:rPr>
                <w:rFonts w:ascii="Cambria" w:hAnsi="Cambria" w:eastAsia="ＭＳ 明朝" w:cs="Cambria" w:asciiTheme="minorHAnsi" w:hAnsiTheme="minorHAnsi" w:eastAsiaTheme="minorEastAsia" w:csTheme="minorBidi"/>
                <w:b/>
                <w:bCs/>
                <w:color w:val="FFFFFF"/>
                <w:sz w:val="20"/>
                <w:szCs w:val="22"/>
              </w:rPr>
              <w:t>Paid API (Gemini / GPT-4o)</w:t>
            </w:r>
          </w:p>
        </w:tc>
      </w:tr>
      <w:tr>
        <w:tc>
          <w:tcPr>
            <w:tcW w:w="2835" w:type="dxa"/>
            <w:tcBorders>
              <w:top w:val="single" w:sz="4" w:space="0" w:color="auto"/>
              <w:left w:val="single" w:sz="4" w:space="0" w:color="auto"/>
              <w:bottom w:val="single" w:sz="4" w:space="0" w:color="auto"/>
              <w:right w:val="single" w:sz="4" w:space="0" w:color="auto"/>
            </w:tcBorders>
            <w:shd w:val="clear" w:fill="F9F9F9"/>
            <w:tcMar>
              <w:top w:w="0" w:type="dxa"/>
              <w:left w:w="108" w:type="dxa"/>
              <w:bottom w:w="0" w:type="dxa"/>
              <w:right w:w="108" w:type="dxa"/>
            </w:tcMar>
          </w:tcPr>
          <w:p w14:paraId="24D9563B">
            <w:pPr>
              <w:spacing w:after="200" w:line="276" w:lineRule="auto"/>
            </w:pPr>
            <w:r>
              <w:rPr>
                <w:rFonts w:ascii="Cambria" w:hAnsi="Cambria" w:eastAsia="ＭＳ 明朝" w:cs="Cambria" w:asciiTheme="minorHAnsi" w:hAnsiTheme="minorHAnsi" w:eastAsiaTheme="minorEastAsia" w:csTheme="minorBidi"/>
                <w:b/>
                <w:bCs/>
                <w:color w:val="374151"/>
                <w:sz w:val="20"/>
                <w:szCs w:val="22"/>
              </w:rPr>
              <w:t>Cost</w:t>
            </w:r>
          </w:p>
        </w:tc>
        <w:tc>
          <w:tcPr>
            <w:tcW w:w="3288" w:type="dxa"/>
            <w:tcBorders>
              <w:top w:val="single" w:sz="4" w:space="0" w:color="auto"/>
              <w:left w:val="single" w:sz="4" w:space="0" w:color="auto"/>
              <w:bottom w:val="single" w:sz="4" w:space="0" w:color="auto"/>
              <w:right w:val="single" w:sz="4" w:space="0" w:color="auto"/>
            </w:tcBorders>
            <w:shd w:val="clear" w:fill="F9F9F9"/>
            <w:tcMar>
              <w:top w:w="0" w:type="dxa"/>
              <w:left w:w="108" w:type="dxa"/>
              <w:bottom w:w="0" w:type="dxa"/>
              <w:right w:w="108" w:type="dxa"/>
            </w:tcMar>
          </w:tcPr>
          <w:p w14:paraId="1B068418">
            <w:pPr>
              <w:spacing w:after="200" w:line="276" w:lineRule="auto"/>
            </w:pPr>
            <w:r>
              <w:rPr>
                <w:rFonts w:ascii="Cambria" w:hAnsi="Cambria" w:eastAsia="ＭＳ 明朝" w:cs="Cambria" w:asciiTheme="minorHAnsi" w:hAnsiTheme="minorHAnsi" w:eastAsiaTheme="minorEastAsia" w:csTheme="minorBidi"/>
                <w:color w:val="374151"/>
                <w:sz w:val="20"/>
                <w:szCs w:val="22"/>
              </w:rPr>
              <w:t>₹0/month (hardware owned)</w:t>
            </w:r>
          </w:p>
        </w:tc>
        <w:tc>
          <w:tcPr>
            <w:tcW w:w="3288" w:type="dxa"/>
            <w:tcBorders>
              <w:top w:val="single" w:sz="4" w:space="0" w:color="auto"/>
              <w:left w:val="single" w:sz="4" w:space="0" w:color="auto"/>
              <w:bottom w:val="single" w:sz="4" w:space="0" w:color="auto"/>
              <w:right w:val="single" w:sz="4" w:space="0" w:color="auto"/>
            </w:tcBorders>
            <w:shd w:val="clear" w:fill="F9F9F9"/>
            <w:tcMar>
              <w:top w:w="0" w:type="dxa"/>
              <w:left w:w="108" w:type="dxa"/>
              <w:bottom w:w="0" w:type="dxa"/>
              <w:right w:w="108" w:type="dxa"/>
            </w:tcMar>
          </w:tcPr>
          <w:p w14:paraId="1BE7F5A8">
            <w:pPr>
              <w:spacing w:after="200" w:line="276" w:lineRule="auto"/>
            </w:pPr>
            <w:r>
              <w:rPr>
                <w:rFonts w:ascii="Cambria" w:hAnsi="Cambria" w:eastAsia="ＭＳ 明朝" w:cs="Cambria" w:asciiTheme="minorHAnsi" w:hAnsiTheme="minorHAnsi" w:eastAsiaTheme="minorEastAsia" w:csTheme="minorBidi"/>
                <w:color w:val="374151"/>
                <w:sz w:val="20"/>
                <w:szCs w:val="22"/>
              </w:rPr>
              <w:t>See cost table above</w:t>
            </w:r>
          </w:p>
        </w:tc>
      </w:tr>
      <w:tr>
        <w:tc>
          <w:tcPr>
            <w:tcW w:w="2835"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tcPr>
          <w:p w14:paraId="79AF480D">
            <w:pPr>
              <w:spacing w:after="200" w:line="276" w:lineRule="auto"/>
            </w:pPr>
            <w:r>
              <w:rPr>
                <w:rFonts w:ascii="Cambria" w:hAnsi="Cambria" w:eastAsia="ＭＳ 明朝" w:cs="Cambria" w:asciiTheme="minorHAnsi" w:hAnsiTheme="minorHAnsi" w:eastAsiaTheme="minorEastAsia" w:csTheme="minorBidi"/>
                <w:b/>
                <w:bCs/>
                <w:color w:val="374151"/>
                <w:sz w:val="20"/>
                <w:szCs w:val="22"/>
              </w:rPr>
              <w:t>Feedback quality</w:t>
            </w:r>
          </w:p>
        </w:tc>
        <w:tc>
          <w:tcPr>
            <w:tcW w:w="3288"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tcPr>
          <w:p w14:paraId="32418978">
            <w:pPr>
              <w:spacing w:after="200" w:line="276" w:lineRule="auto"/>
            </w:pPr>
            <w:r>
              <w:rPr>
                <w:rFonts w:ascii="Cambria" w:hAnsi="Cambria" w:eastAsia="ＭＳ 明朝" w:cs="Cambria" w:asciiTheme="minorHAnsi" w:hAnsiTheme="minorHAnsi" w:eastAsiaTheme="minorEastAsia" w:csTheme="minorBidi"/>
                <w:color w:val="374151"/>
                <w:sz w:val="20"/>
                <w:szCs w:val="22"/>
              </w:rPr>
              <w:t>❌ Generic, often unreliable</w:t>
            </w:r>
          </w:p>
        </w:tc>
        <w:tc>
          <w:tcPr>
            <w:tcW w:w="3288"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tcPr>
          <w:p w14:paraId="43440833">
            <w:pPr>
              <w:spacing w:after="200" w:line="276" w:lineRule="auto"/>
            </w:pPr>
            <w:r>
              <w:rPr>
                <w:rFonts w:ascii="Cambria" w:hAnsi="Cambria" w:eastAsia="ＭＳ 明朝" w:cs="Cambria" w:asciiTheme="minorHAnsi" w:hAnsiTheme="minorHAnsi" w:eastAsiaTheme="minorEastAsia" w:csTheme="minorBidi"/>
                <w:color w:val="374151"/>
                <w:sz w:val="20"/>
                <w:szCs w:val="22"/>
              </w:rPr>
              <w:t>✅ Specific, accurate, professional</w:t>
            </w:r>
          </w:p>
        </w:tc>
      </w:tr>
      <w:tr>
        <w:tc>
          <w:tcPr>
            <w:tcW w:w="2835" w:type="dxa"/>
            <w:tcBorders>
              <w:top w:val="single" w:sz="4" w:space="0" w:color="auto"/>
              <w:left w:val="single" w:sz="4" w:space="0" w:color="auto"/>
              <w:bottom w:val="single" w:sz="4" w:space="0" w:color="auto"/>
              <w:right w:val="single" w:sz="4" w:space="0" w:color="auto"/>
            </w:tcBorders>
            <w:shd w:val="clear" w:fill="F9F9F9"/>
            <w:tcMar>
              <w:top w:w="0" w:type="dxa"/>
              <w:left w:w="108" w:type="dxa"/>
              <w:bottom w:w="0" w:type="dxa"/>
              <w:right w:w="108" w:type="dxa"/>
            </w:tcMar>
          </w:tcPr>
          <w:p w14:paraId="5082D17C">
            <w:pPr>
              <w:spacing w:after="200" w:line="276" w:lineRule="auto"/>
            </w:pPr>
            <w:r>
              <w:rPr>
                <w:rFonts w:ascii="Cambria" w:hAnsi="Cambria" w:eastAsia="ＭＳ 明朝" w:cs="Cambria" w:asciiTheme="minorHAnsi" w:hAnsiTheme="minorHAnsi" w:eastAsiaTheme="minorEastAsia" w:csTheme="minorBidi"/>
                <w:b/>
                <w:bCs/>
                <w:color w:val="374151"/>
                <w:sz w:val="20"/>
                <w:szCs w:val="22"/>
              </w:rPr>
              <w:t>Marks accuracy</w:t>
            </w:r>
          </w:p>
        </w:tc>
        <w:tc>
          <w:tcPr>
            <w:tcW w:w="3288" w:type="dxa"/>
            <w:tcBorders>
              <w:top w:val="single" w:sz="4" w:space="0" w:color="auto"/>
              <w:left w:val="single" w:sz="4" w:space="0" w:color="auto"/>
              <w:bottom w:val="single" w:sz="4" w:space="0" w:color="auto"/>
              <w:right w:val="single" w:sz="4" w:space="0" w:color="auto"/>
            </w:tcBorders>
            <w:shd w:val="clear" w:fill="F9F9F9"/>
            <w:tcMar>
              <w:top w:w="0" w:type="dxa"/>
              <w:left w:w="108" w:type="dxa"/>
              <w:bottom w:w="0" w:type="dxa"/>
              <w:right w:w="108" w:type="dxa"/>
            </w:tcMar>
          </w:tcPr>
          <w:p w14:paraId="68E0C2C5">
            <w:pPr>
              <w:spacing w:after="200" w:line="276" w:lineRule="auto"/>
            </w:pPr>
            <w:r>
              <w:rPr>
                <w:rFonts w:ascii="Cambria" w:hAnsi="Cambria" w:eastAsia="ＭＳ 明朝" w:cs="Cambria" w:asciiTheme="minorHAnsi" w:hAnsiTheme="minorHAnsi" w:eastAsiaTheme="minorEastAsia" w:csTheme="minorBidi"/>
                <w:color w:val="374151"/>
                <w:sz w:val="20"/>
                <w:szCs w:val="22"/>
              </w:rPr>
              <w:t>❌ Inconsistent</w:t>
            </w:r>
          </w:p>
        </w:tc>
        <w:tc>
          <w:tcPr>
            <w:tcW w:w="3288" w:type="dxa"/>
            <w:tcBorders>
              <w:top w:val="single" w:sz="4" w:space="0" w:color="auto"/>
              <w:left w:val="single" w:sz="4" w:space="0" w:color="auto"/>
              <w:bottom w:val="single" w:sz="4" w:space="0" w:color="auto"/>
              <w:right w:val="single" w:sz="4" w:space="0" w:color="auto"/>
            </w:tcBorders>
            <w:shd w:val="clear" w:fill="F9F9F9"/>
            <w:tcMar>
              <w:top w:w="0" w:type="dxa"/>
              <w:left w:w="108" w:type="dxa"/>
              <w:bottom w:w="0" w:type="dxa"/>
              <w:right w:w="108" w:type="dxa"/>
            </w:tcMar>
          </w:tcPr>
          <w:p w14:paraId="3D8457C9">
            <w:pPr>
              <w:spacing w:after="200" w:line="276" w:lineRule="auto"/>
            </w:pPr>
            <w:r>
              <w:rPr>
                <w:rFonts w:ascii="Cambria" w:hAnsi="Cambria" w:eastAsia="ＭＳ 明朝" w:cs="Cambria" w:asciiTheme="minorHAnsi" w:hAnsiTheme="minorHAnsi" w:eastAsiaTheme="minorEastAsia" w:csTheme="minorBidi"/>
                <w:color w:val="374151"/>
                <w:sz w:val="20"/>
                <w:szCs w:val="22"/>
              </w:rPr>
              <w:t>✅ Consistent with rubric</w:t>
            </w:r>
          </w:p>
        </w:tc>
      </w:tr>
      <w:tr>
        <w:tc>
          <w:tcPr>
            <w:tcW w:w="2835"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tcPr>
          <w:p w14:paraId="13E79B83">
            <w:pPr>
              <w:spacing w:after="200" w:line="276" w:lineRule="auto"/>
            </w:pPr>
            <w:r>
              <w:rPr>
                <w:rFonts w:ascii="Cambria" w:hAnsi="Cambria" w:eastAsia="ＭＳ 明朝" w:cs="Cambria" w:asciiTheme="minorHAnsi" w:hAnsiTheme="minorHAnsi" w:eastAsiaTheme="minorEastAsia" w:csTheme="minorBidi"/>
                <w:b/>
                <w:bCs/>
                <w:color w:val="374151"/>
                <w:sz w:val="20"/>
                <w:szCs w:val="22"/>
              </w:rPr>
              <w:t>Student trust</w:t>
            </w:r>
          </w:p>
        </w:tc>
        <w:tc>
          <w:tcPr>
            <w:tcW w:w="3288"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tcPr>
          <w:p w14:paraId="6337B8A5">
            <w:pPr>
              <w:spacing w:after="200" w:line="276" w:lineRule="auto"/>
            </w:pPr>
            <w:r>
              <w:rPr>
                <w:rFonts w:ascii="Cambria" w:hAnsi="Cambria" w:eastAsia="ＭＳ 明朝" w:cs="Cambria" w:asciiTheme="minorHAnsi" w:hAnsiTheme="minorHAnsi" w:eastAsiaTheme="minorEastAsia" w:csTheme="minorBidi"/>
                <w:color w:val="374151"/>
                <w:sz w:val="20"/>
                <w:szCs w:val="22"/>
              </w:rPr>
              <w:t>❌ Low — feels automated</w:t>
            </w:r>
          </w:p>
        </w:tc>
        <w:tc>
          <w:tcPr>
            <w:tcW w:w="3288"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tcPr>
          <w:p w14:paraId="0873AC12">
            <w:pPr>
              <w:spacing w:after="200" w:line="276" w:lineRule="auto"/>
            </w:pPr>
            <w:r>
              <w:rPr>
                <w:rFonts w:ascii="Cambria" w:hAnsi="Cambria" w:eastAsia="ＭＳ 明朝" w:cs="Cambria" w:asciiTheme="minorHAnsi" w:hAnsiTheme="minorHAnsi" w:eastAsiaTheme="minorEastAsia" w:csTheme="minorBidi"/>
                <w:color w:val="374151"/>
                <w:sz w:val="20"/>
                <w:szCs w:val="22"/>
              </w:rPr>
              <w:t>✅ High — feels like a real teacher</w:t>
            </w:r>
          </w:p>
        </w:tc>
      </w:tr>
      <w:tr>
        <w:tc>
          <w:tcPr>
            <w:tcW w:w="2835" w:type="dxa"/>
            <w:tcBorders>
              <w:top w:val="single" w:sz="4" w:space="0" w:color="auto"/>
              <w:left w:val="single" w:sz="4" w:space="0" w:color="auto"/>
              <w:bottom w:val="single" w:sz="4" w:space="0" w:color="auto"/>
              <w:right w:val="single" w:sz="4" w:space="0" w:color="auto"/>
            </w:tcBorders>
            <w:shd w:val="clear" w:fill="F9F9F9"/>
            <w:tcMar>
              <w:top w:w="0" w:type="dxa"/>
              <w:left w:w="108" w:type="dxa"/>
              <w:bottom w:w="0" w:type="dxa"/>
              <w:right w:w="108" w:type="dxa"/>
            </w:tcMar>
          </w:tcPr>
          <w:p w14:paraId="4844B7B9">
            <w:pPr>
              <w:spacing w:after="200" w:line="276" w:lineRule="auto"/>
            </w:pPr>
            <w:r>
              <w:rPr>
                <w:rFonts w:ascii="Cambria" w:hAnsi="Cambria" w:eastAsia="ＭＳ 明朝" w:cs="Cambria" w:asciiTheme="minorHAnsi" w:hAnsiTheme="minorHAnsi" w:eastAsiaTheme="minorEastAsia" w:csTheme="minorBidi"/>
                <w:b/>
                <w:bCs/>
                <w:color w:val="374151"/>
                <w:sz w:val="20"/>
                <w:szCs w:val="22"/>
              </w:rPr>
              <w:t>Speed</w:t>
            </w:r>
          </w:p>
        </w:tc>
        <w:tc>
          <w:tcPr>
            <w:tcW w:w="3288" w:type="dxa"/>
            <w:tcBorders>
              <w:top w:val="single" w:sz="4" w:space="0" w:color="auto"/>
              <w:left w:val="single" w:sz="4" w:space="0" w:color="auto"/>
              <w:bottom w:val="single" w:sz="4" w:space="0" w:color="auto"/>
              <w:right w:val="single" w:sz="4" w:space="0" w:color="auto"/>
            </w:tcBorders>
            <w:shd w:val="clear" w:fill="F9F9F9"/>
            <w:tcMar>
              <w:top w:w="0" w:type="dxa"/>
              <w:left w:w="108" w:type="dxa"/>
              <w:bottom w:w="0" w:type="dxa"/>
              <w:right w:w="108" w:type="dxa"/>
            </w:tcMar>
          </w:tcPr>
          <w:p w14:paraId="1797CF6F">
            <w:pPr>
              <w:spacing w:after="200" w:line="276" w:lineRule="auto"/>
            </w:pPr>
            <w:r>
              <w:rPr>
                <w:rFonts w:ascii="Cambria" w:hAnsi="Cambria" w:eastAsia="ＭＳ 明朝" w:cs="Cambria" w:asciiTheme="minorHAnsi" w:hAnsiTheme="minorHAnsi" w:eastAsiaTheme="minorEastAsia" w:csTheme="minorBidi"/>
                <w:color w:val="374151"/>
                <w:sz w:val="20"/>
                <w:szCs w:val="22"/>
              </w:rPr>
              <w:t>⚠ 2–15 min wait per evaluation</w:t>
            </w:r>
          </w:p>
        </w:tc>
        <w:tc>
          <w:tcPr>
            <w:tcW w:w="3288" w:type="dxa"/>
            <w:tcBorders>
              <w:top w:val="single" w:sz="4" w:space="0" w:color="auto"/>
              <w:left w:val="single" w:sz="4" w:space="0" w:color="auto"/>
              <w:bottom w:val="single" w:sz="4" w:space="0" w:color="auto"/>
              <w:right w:val="single" w:sz="4" w:space="0" w:color="auto"/>
            </w:tcBorders>
            <w:shd w:val="clear" w:fill="F9F9F9"/>
            <w:tcMar>
              <w:top w:w="0" w:type="dxa"/>
              <w:left w:w="108" w:type="dxa"/>
              <w:bottom w:w="0" w:type="dxa"/>
              <w:right w:w="108" w:type="dxa"/>
            </w:tcMar>
          </w:tcPr>
          <w:p w14:paraId="2BD3CBC8">
            <w:pPr>
              <w:spacing w:after="200" w:line="276" w:lineRule="auto"/>
            </w:pPr>
            <w:r>
              <w:rPr>
                <w:rFonts w:ascii="Cambria" w:hAnsi="Cambria" w:eastAsia="ＭＳ 明朝" w:cs="Cambria" w:asciiTheme="minorHAnsi" w:hAnsiTheme="minorHAnsi" w:eastAsiaTheme="minorEastAsia" w:csTheme="minorBidi"/>
                <w:color w:val="374151"/>
                <w:sz w:val="20"/>
                <w:szCs w:val="22"/>
              </w:rPr>
              <w:t>✅ Under 30 seconds</w:t>
            </w:r>
          </w:p>
        </w:tc>
      </w:tr>
      <w:tr>
        <w:tc>
          <w:tcPr>
            <w:tcW w:w="2835"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tcPr>
          <w:p w14:paraId="51213B87">
            <w:pPr>
              <w:spacing w:after="200" w:line="276" w:lineRule="auto"/>
            </w:pPr>
            <w:r>
              <w:rPr>
                <w:rFonts w:ascii="Cambria" w:hAnsi="Cambria" w:eastAsia="ＭＳ 明朝" w:cs="Cambria" w:asciiTheme="minorHAnsi" w:hAnsiTheme="minorHAnsi" w:eastAsiaTheme="minorEastAsia" w:csTheme="minorBidi"/>
                <w:b/>
                <w:bCs/>
                <w:color w:val="374151"/>
                <w:sz w:val="20"/>
                <w:szCs w:val="22"/>
              </w:rPr>
              <w:t>Works without internet</w:t>
            </w:r>
          </w:p>
        </w:tc>
        <w:tc>
          <w:tcPr>
            <w:tcW w:w="3288"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tcPr>
          <w:p w14:paraId="3576725F">
            <w:pPr>
              <w:spacing w:after="200" w:line="276" w:lineRule="auto"/>
            </w:pPr>
            <w:r>
              <w:rPr>
                <w:rFonts w:ascii="Cambria" w:hAnsi="Cambria" w:eastAsia="ＭＳ 明朝" w:cs="Cambria" w:asciiTheme="minorHAnsi" w:hAnsiTheme="minorHAnsi" w:eastAsiaTheme="minorEastAsia" w:csTheme="minorBidi"/>
                <w:color w:val="374151"/>
                <w:sz w:val="20"/>
                <w:szCs w:val="22"/>
              </w:rPr>
              <w:t>✅ Yes</w:t>
            </w:r>
          </w:p>
        </w:tc>
        <w:tc>
          <w:tcPr>
            <w:tcW w:w="3288"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tcPr>
          <w:p w14:paraId="07AC7494">
            <w:pPr>
              <w:spacing w:after="200" w:line="276" w:lineRule="auto"/>
            </w:pPr>
            <w:r>
              <w:rPr>
                <w:rFonts w:ascii="Cambria" w:hAnsi="Cambria" w:eastAsia="ＭＳ 明朝" w:cs="Cambria" w:asciiTheme="minorHAnsi" w:hAnsiTheme="minorHAnsi" w:eastAsiaTheme="minorEastAsia" w:csTheme="minorBidi"/>
                <w:color w:val="374151"/>
                <w:sz w:val="20"/>
                <w:szCs w:val="22"/>
              </w:rPr>
              <w:t>❌ Requires internet</w:t>
            </w:r>
          </w:p>
        </w:tc>
      </w:tr>
      <w:tr>
        <w:tc>
          <w:tcPr>
            <w:tcW w:w="2835" w:type="dxa"/>
            <w:tcBorders>
              <w:top w:val="single" w:sz="4" w:space="0" w:color="auto"/>
              <w:left w:val="single" w:sz="4" w:space="0" w:color="auto"/>
              <w:bottom w:val="single" w:sz="4" w:space="0" w:color="auto"/>
              <w:right w:val="single" w:sz="4" w:space="0" w:color="auto"/>
            </w:tcBorders>
            <w:shd w:val="clear" w:fill="F9F9F9"/>
            <w:tcMar>
              <w:top w:w="0" w:type="dxa"/>
              <w:left w:w="108" w:type="dxa"/>
              <w:bottom w:w="0" w:type="dxa"/>
              <w:right w:w="108" w:type="dxa"/>
            </w:tcMar>
          </w:tcPr>
          <w:p w14:paraId="4A936FEF">
            <w:pPr>
              <w:spacing w:after="200" w:line="276" w:lineRule="auto"/>
            </w:pPr>
            <w:r>
              <w:rPr>
                <w:rFonts w:ascii="Cambria" w:hAnsi="Cambria" w:eastAsia="ＭＳ 明朝" w:cs="Cambria" w:asciiTheme="minorHAnsi" w:hAnsiTheme="minorHAnsi" w:eastAsiaTheme="minorEastAsia" w:csTheme="minorBidi"/>
                <w:b/>
                <w:bCs/>
                <w:color w:val="374151"/>
                <w:sz w:val="20"/>
                <w:szCs w:val="22"/>
              </w:rPr>
              <w:t>Handles 100 students at once</w:t>
            </w:r>
          </w:p>
        </w:tc>
        <w:tc>
          <w:tcPr>
            <w:tcW w:w="3288" w:type="dxa"/>
            <w:tcBorders>
              <w:top w:val="single" w:sz="4" w:space="0" w:color="auto"/>
              <w:left w:val="single" w:sz="4" w:space="0" w:color="auto"/>
              <w:bottom w:val="single" w:sz="4" w:space="0" w:color="auto"/>
              <w:right w:val="single" w:sz="4" w:space="0" w:color="auto"/>
            </w:tcBorders>
            <w:shd w:val="clear" w:fill="F9F9F9"/>
            <w:tcMar>
              <w:top w:w="0" w:type="dxa"/>
              <w:left w:w="108" w:type="dxa"/>
              <w:bottom w:w="0" w:type="dxa"/>
              <w:right w:w="108" w:type="dxa"/>
            </w:tcMar>
          </w:tcPr>
          <w:p w14:paraId="3B519BEF">
            <w:pPr>
              <w:spacing w:after="200" w:line="276" w:lineRule="auto"/>
            </w:pPr>
            <w:r>
              <w:rPr>
                <w:rFonts w:ascii="Cambria" w:hAnsi="Cambria" w:eastAsia="ＭＳ 明朝" w:cs="Cambria" w:asciiTheme="minorHAnsi" w:hAnsiTheme="minorHAnsi" w:eastAsiaTheme="minorEastAsia" w:csTheme="minorBidi"/>
                <w:color w:val="374151"/>
                <w:sz w:val="20"/>
                <w:szCs w:val="22"/>
              </w:rPr>
              <w:t>⚠ Long queue, degraded experience</w:t>
            </w:r>
          </w:p>
        </w:tc>
        <w:tc>
          <w:tcPr>
            <w:tcW w:w="3288" w:type="dxa"/>
            <w:tcBorders>
              <w:top w:val="single" w:sz="4" w:space="0" w:color="auto"/>
              <w:left w:val="single" w:sz="4" w:space="0" w:color="auto"/>
              <w:bottom w:val="single" w:sz="4" w:space="0" w:color="auto"/>
              <w:right w:val="single" w:sz="4" w:space="0" w:color="auto"/>
            </w:tcBorders>
            <w:shd w:val="clear" w:fill="F9F9F9"/>
            <w:tcMar>
              <w:top w:w="0" w:type="dxa"/>
              <w:left w:w="108" w:type="dxa"/>
              <w:bottom w:w="0" w:type="dxa"/>
              <w:right w:w="108" w:type="dxa"/>
            </w:tcMar>
          </w:tcPr>
          <w:p w14:paraId="43597262">
            <w:pPr>
              <w:spacing w:after="200" w:line="276" w:lineRule="auto"/>
            </w:pPr>
            <w:r>
              <w:rPr>
                <w:rFonts w:ascii="Cambria" w:hAnsi="Cambria" w:eastAsia="ＭＳ 明朝" w:cs="Cambria" w:asciiTheme="minorHAnsi" w:hAnsiTheme="minorHAnsi" w:eastAsiaTheme="minorEastAsia" w:csTheme="minorBidi"/>
                <w:color w:val="374151"/>
                <w:sz w:val="20"/>
                <w:szCs w:val="22"/>
              </w:rPr>
              <w:t>✅ No queue, instant results</w:t>
            </w:r>
          </w:p>
        </w:tc>
      </w:tr>
      <w:tr>
        <w:tc>
          <w:tcPr>
            <w:tcW w:w="2835"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tcPr>
          <w:p w14:paraId="74C98026">
            <w:pPr>
              <w:spacing w:after="200" w:line="276" w:lineRule="auto"/>
            </w:pPr>
            <w:r>
              <w:rPr>
                <w:rFonts w:ascii="Cambria" w:hAnsi="Cambria" w:eastAsia="ＭＳ 明朝" w:cs="Cambria" w:asciiTheme="minorHAnsi" w:hAnsiTheme="minorHAnsi" w:eastAsiaTheme="minorEastAsia" w:csTheme="minorBidi"/>
                <w:b/>
                <w:bCs/>
                <w:color w:val="374151"/>
                <w:sz w:val="20"/>
                <w:szCs w:val="22"/>
              </w:rPr>
              <w:t>Setup complexity</w:t>
            </w:r>
          </w:p>
        </w:tc>
        <w:tc>
          <w:tcPr>
            <w:tcW w:w="3288"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tcPr>
          <w:p w14:paraId="08871E41">
            <w:pPr>
              <w:spacing w:after="200" w:line="276" w:lineRule="auto"/>
            </w:pPr>
            <w:r>
              <w:rPr>
                <w:rFonts w:ascii="Cambria" w:hAnsi="Cambria" w:eastAsia="ＭＳ 明朝" w:cs="Cambria" w:asciiTheme="minorHAnsi" w:hAnsiTheme="minorHAnsi" w:eastAsiaTheme="minorEastAsia" w:csTheme="minorBidi"/>
                <w:color w:val="374151"/>
                <w:sz w:val="20"/>
                <w:szCs w:val="22"/>
              </w:rPr>
              <w:t>High — needs ongoing maintenance</w:t>
            </w:r>
          </w:p>
        </w:tc>
        <w:tc>
          <w:tcPr>
            <w:tcW w:w="3288"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tcPr>
          <w:p w14:paraId="2F62AC2A">
            <w:pPr>
              <w:spacing w:after="200" w:line="276" w:lineRule="auto"/>
            </w:pPr>
            <w:r>
              <w:rPr>
                <w:rFonts w:ascii="Cambria" w:hAnsi="Cambria" w:eastAsia="ＭＳ 明朝" w:cs="Cambria" w:asciiTheme="minorHAnsi" w:hAnsiTheme="minorHAnsi" w:eastAsiaTheme="minorEastAsia" w:csTheme="minorBidi"/>
                <w:color w:val="374151"/>
                <w:sz w:val="20"/>
                <w:szCs w:val="22"/>
              </w:rPr>
              <w:t>Low — just an API key</w:t>
            </w:r>
          </w:p>
        </w:tc>
      </w:tr>
    </w:tbl>
    <w:p w14:paraId="19906BE5">
      <w:pPr>
        <w:pBdr>
          <w:bottom w:val="single" w:sz="6" w:space="1" w:color="C9A227"/>
        </w:pBdr>
        <w:spacing w:before="80" w:after="80"/>
      </w:pPr>
    </w:p>
    <w:p w14:paraId="7896B824">
      <w:pPr>
        <w:spacing w:before="280" w:after="120"/>
      </w:pPr>
      <w:r>
        <w:rPr>
          <w:rFonts w:ascii="Cambria" w:hAnsi="Cambria" w:eastAsia="ＭＳ 明朝" w:cs="Cambria" w:asciiTheme="minorHAnsi" w:hAnsiTheme="minorHAnsi" w:eastAsiaTheme="minorEastAsia" w:csTheme="minorBidi"/>
          <w:b/>
          <w:bCs/>
          <w:color w:val="0B1D3A"/>
          <w:sz w:val="28"/>
          <w:szCs w:val="22"/>
        </w:rPr>
        <w:t>Our Suggestions</w:t>
      </w:r>
    </w:p>
    <w:p w14:paraId="4A49174B">
      <w:pPr>
        <w:spacing w:after="160"/>
      </w:pPr>
      <w:r>
        <w:rPr>
          <w:rFonts w:ascii="Cambria" w:hAnsi="Cambria" w:eastAsia="ＭＳ 明朝" w:cs="Cambria" w:asciiTheme="minorHAnsi" w:hAnsiTheme="minorHAnsi" w:eastAsiaTheme="minorEastAsia" w:csTheme="minorBidi"/>
          <w:color w:val="374151"/>
          <w:sz w:val="22"/>
          <w:szCs w:val="22"/>
        </w:rPr>
        <w:t>Based on the current hardware and typical usage patterns, we present two viable paths. Choose the one that best fits your priorities.</w:t>
      </w:r>
    </w:p>
    <w:p w14:paraId="0141679A">
      <w:pPr>
        <w:spacing w:before="120" w:after="120"/>
      </w:pPr>
      <w:r>
        <w:rPr>
          <w:rFonts w:ascii="Cambria" w:hAnsi="Cambria" w:eastAsia="ＭＳ 明朝" w:cs="Cambria" w:asciiTheme="minorHAnsi" w:hAnsiTheme="minorHAnsi" w:eastAsiaTheme="minorEastAsia" w:csTheme="minorBidi"/>
          <w:b/>
          <w:bCs/>
          <w:color w:val="16A34A"/>
          <w:sz w:val="24"/>
          <w:szCs w:val="22"/>
        </w:rPr>
        <w:t>Suggestion A — Paid Cloud API (Recommended for most institutions)</w:t>
      </w:r>
    </w:p>
    <w:p w14:paraId="7CDAF772">
      <w:pPr>
        <w:spacing w:after="80"/>
      </w:pPr>
      <w:r>
        <w:rPr>
          <w:rFonts w:ascii="Cambria" w:hAnsi="Cambria" w:eastAsia="ＭＳ 明朝" w:cs="Cambria" w:asciiTheme="minorHAnsi" w:hAnsiTheme="minorHAnsi" w:eastAsiaTheme="minorEastAsia" w:csTheme="minorBidi"/>
          <w:b/>
          <w:bCs/>
          <w:color w:val="374151"/>
          <w:sz w:val="22"/>
          <w:szCs w:val="22"/>
        </w:rPr>
        <w:t>Use Google Gemini 2.0 Flash or OpenAI GPT-4o Mini as the AI engine.</w:t>
      </w:r>
    </w:p>
    <w:p w14:paraId="52651C65">
      <w:pPr>
        <w:pStyle w:val="ListBullet"/>
        <w:spacing w:before="40" w:after="40"/>
        <w:ind w:left="360" w:hanging="360"/>
      </w:pPr>
      <w:r>
        <w:rPr>
          <w:rFonts w:ascii="Cambria" w:hAnsi="Cambria" w:eastAsia="ＭＳ 明朝" w:cs="Cambria" w:asciiTheme="minorHAnsi" w:hAnsiTheme="minorHAnsi" w:eastAsiaTheme="minorEastAsia" w:csTheme="minorBidi"/>
          <w:color w:val="374151"/>
          <w:sz w:val="22"/>
          <w:szCs w:val="22"/>
        </w:rPr>
        <w:t>Quality is dramatically better — students receive genuinely useful, personalised feedback</w:t>
      </w:r>
    </w:p>
    <w:p w14:paraId="7A750E79">
      <w:pPr>
        <w:pStyle w:val="ListBullet"/>
        <w:spacing w:before="40" w:after="40"/>
        <w:ind w:left="360" w:hanging="360"/>
      </w:pPr>
      <w:r>
        <w:rPr>
          <w:rFonts w:ascii="Cambria" w:hAnsi="Cambria" w:eastAsia="ＭＳ 明朝" w:cs="Cambria" w:asciiTheme="minorHAnsi" w:hAnsiTheme="minorHAnsi" w:eastAsiaTheme="minorEastAsia" w:csTheme="minorBidi"/>
          <w:color w:val="374151"/>
          <w:sz w:val="22"/>
          <w:szCs w:val="22"/>
        </w:rPr>
        <w:t>No queue, no waiting — evaluations complete in under 30 seconds</w:t>
      </w:r>
    </w:p>
    <w:p w14:paraId="3BE2F40E">
      <w:pPr>
        <w:pStyle w:val="ListBullet"/>
        <w:spacing w:before="40" w:after="40"/>
        <w:ind w:left="360" w:hanging="360"/>
      </w:pPr>
      <w:r>
        <w:rPr>
          <w:rFonts w:ascii="Cambria" w:hAnsi="Cambria" w:eastAsia="ＭＳ 明朝" w:cs="Cambria" w:asciiTheme="minorHAnsi" w:hAnsiTheme="minorHAnsi" w:eastAsiaTheme="minorEastAsia" w:csTheme="minorBidi"/>
          <w:color w:val="374151"/>
          <w:sz w:val="22"/>
          <w:szCs w:val="22"/>
        </w:rPr>
        <w:t>Zero hardware maintenance — just an API key, managed entirely by Google or OpenAI</w:t>
      </w:r>
    </w:p>
    <w:p w14:paraId="50106150">
      <w:pPr>
        <w:pStyle w:val="ListBullet"/>
        <w:spacing w:before="40" w:after="40"/>
        <w:ind w:left="360" w:hanging="360"/>
      </w:pPr>
      <w:r>
        <w:rPr>
          <w:rFonts w:ascii="Cambria" w:hAnsi="Cambria" w:eastAsia="ＭＳ 明朝" w:cs="Cambria" w:asciiTheme="minorHAnsi" w:hAnsiTheme="minorHAnsi" w:eastAsiaTheme="minorEastAsia" w:csTheme="minorBidi"/>
          <w:color w:val="374151"/>
          <w:sz w:val="22"/>
          <w:szCs w:val="22"/>
        </w:rPr>
        <w:t>Google offers 1,500 free evaluations per day — enough for testing and low-volume use at no cost</w:t>
      </w:r>
    </w:p>
    <w:p w14:paraId="68E81495">
      <w:pPr>
        <w:pStyle w:val="ListBullet"/>
        <w:spacing w:before="40" w:after="40"/>
        <w:ind w:left="360" w:hanging="360"/>
      </w:pPr>
      <w:r>
        <w:rPr>
          <w:rFonts w:ascii="Cambria" w:hAnsi="Cambria" w:eastAsia="ＭＳ 明朝" w:cs="Cambria" w:asciiTheme="minorHAnsi" w:hAnsiTheme="minorHAnsi" w:eastAsiaTheme="minorEastAsia" w:csTheme="minorBidi"/>
          <w:color w:val="374151"/>
          <w:sz w:val="22"/>
          <w:szCs w:val="22"/>
        </w:rPr>
        <w:t>Cost is negligible — under ₹2,200/month even for 1,000 students</w:t>
      </w:r>
    </w:p>
    <w:p w14:paraId="38AAAE3D">
      <w:pPr>
        <w:pStyle w:val="ListBullet"/>
        <w:spacing w:before="40" w:after="40"/>
        <w:ind w:left="360" w:hanging="360"/>
      </w:pPr>
      <w:r>
        <w:rPr>
          <w:rFonts w:ascii="Cambria" w:hAnsi="Cambria" w:eastAsia="ＭＳ 明朝" w:cs="Cambria" w:asciiTheme="minorHAnsi" w:hAnsiTheme="minorHAnsi" w:eastAsiaTheme="minorEastAsia" w:csTheme="minorBidi"/>
          <w:color w:val="374151"/>
          <w:sz w:val="22"/>
          <w:szCs w:val="22"/>
        </w:rPr>
        <w:t>Scales to any number of users with no infrastructure changes</w:t>
      </w:r>
    </w:p>
    <w:p w14:paraId="66050130">
      <w:pPr>
        <w:spacing w:before="120" w:after="120"/>
        <w:ind w:left="283"/>
      </w:pPr>
      <w:r>
        <w:rPr>
          <w:rFonts w:ascii="Cambria" w:hAnsi="Cambria" w:eastAsia="ＭＳ 明朝" w:cs="Cambria" w:asciiTheme="minorHAnsi" w:hAnsiTheme="minorHAnsi" w:eastAsiaTheme="minorEastAsia" w:csTheme="minorBidi"/>
          <w:b/>
          <w:bCs/>
          <w:color w:val="0B1D3A"/>
          <w:sz w:val="22"/>
          <w:szCs w:val="22"/>
        </w:rPr>
        <w:t>The local AI option saves money on paper but delivers a product that students will not find valuable. For an education platform, evaluation quality is the core of the product — it should not be compromised.</w:t>
      </w:r>
    </w:p>
    <w:p w14:paraId="3E5CA8E5">
      <w:pPr>
        <w:spacing w:before="200" w:after="120"/>
      </w:pPr>
      <w:r>
        <w:rPr>
          <w:rFonts w:ascii="Cambria" w:hAnsi="Cambria" w:eastAsia="ＭＳ 明朝" w:cs="Cambria" w:asciiTheme="minorHAnsi" w:hAnsiTheme="minorHAnsi" w:eastAsiaTheme="minorEastAsia" w:csTheme="minorBidi"/>
          <w:b/>
          <w:bCs/>
          <w:color w:val="0284C7"/>
          <w:sz w:val="24"/>
          <w:szCs w:val="22"/>
        </w:rPr>
        <w:t>Suggestion B — Local LLM with Hardware Upgrade (For offline/data-privacy requirements)</w:t>
      </w:r>
    </w:p>
    <w:p w14:paraId="640279EE">
      <w:pPr>
        <w:spacing w:after="80"/>
      </w:pPr>
      <w:r>
        <w:rPr>
          <w:rFonts w:ascii="Cambria" w:hAnsi="Cambria" w:eastAsia="ＭＳ 明朝" w:cs="Cambria" w:asciiTheme="minorHAnsi" w:hAnsiTheme="minorHAnsi" w:eastAsiaTheme="minorEastAsia" w:csTheme="minorBidi"/>
          <w:color w:val="374151"/>
          <w:sz w:val="22"/>
          <w:szCs w:val="22"/>
        </w:rPr>
        <w:t>If the system must work fully offline or the institution has strict data-privacy policies that prevent sending student data to external servers, the following hardware upgrade is required to achieve acceptable quality:</w:t>
      </w:r>
    </w:p>
    <w:p w14:paraId="36D7EC4D">
      <w:pPr>
        <w:spacing w:before="120" w:after="80"/>
      </w:pPr>
      <w:r>
        <w:rPr>
          <w:rFonts w:ascii="Cambria" w:hAnsi="Cambria" w:eastAsia="ＭＳ 明朝" w:cs="Cambria" w:asciiTheme="minorHAnsi" w:hAnsiTheme="minorHAnsi" w:eastAsiaTheme="minorEastAsia" w:csTheme="minorBidi"/>
          <w:b/>
          <w:bCs/>
          <w:color w:val="0B1D3A"/>
          <w:sz w:val="22"/>
          <w:szCs w:val="22"/>
        </w:rPr>
        <w:t>Minimum Upgrade for Acceptable Quality</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2351"/>
        <w:gridCol w:w="2351"/>
        <w:gridCol w:w="2351"/>
        <w:gridCol w:w="2351"/>
      </w:tblGrid>
      <w:tr>
        <w:tc>
          <w:tcPr>
            <w:tcW w:w="1984" w:type="dxa"/>
            <w:tcBorders>
              <w:top w:val="single" w:sz="4" w:space="0" w:color="auto"/>
              <w:left w:val="single" w:sz="4" w:space="0" w:color="auto"/>
              <w:bottom w:val="single" w:sz="4" w:space="0" w:color="auto"/>
              <w:right w:val="single" w:sz="4" w:space="0" w:color="auto"/>
            </w:tcBorders>
            <w:shd w:val="clear" w:fill="0B1D3A"/>
            <w:tcMar>
              <w:top w:w="0" w:type="dxa"/>
              <w:left w:w="108" w:type="dxa"/>
              <w:bottom w:w="0" w:type="dxa"/>
              <w:right w:w="108" w:type="dxa"/>
            </w:tcMar>
          </w:tcPr>
          <w:p w14:paraId="05C3BDD5">
            <w:pPr>
              <w:jc w:val="center"/>
            </w:pPr>
            <w:r>
              <w:rPr>
                <w:rFonts w:ascii="Cambria" w:hAnsi="Cambria" w:eastAsia="ＭＳ 明朝" w:cs="Cambria" w:asciiTheme="minorHAnsi" w:hAnsiTheme="minorHAnsi" w:eastAsiaTheme="minorEastAsia" w:csTheme="minorBidi"/>
                <w:b/>
                <w:bCs/>
                <w:color w:val="FFFFFF"/>
                <w:sz w:val="18"/>
                <w:szCs w:val="22"/>
              </w:rPr>
              <w:t>Component</w:t>
            </w:r>
          </w:p>
        </w:tc>
        <w:tc>
          <w:tcPr>
            <w:tcW w:w="2268" w:type="dxa"/>
            <w:tcBorders>
              <w:top w:val="single" w:sz="4" w:space="0" w:color="auto"/>
              <w:left w:val="single" w:sz="4" w:space="0" w:color="auto"/>
              <w:bottom w:val="single" w:sz="4" w:space="0" w:color="auto"/>
              <w:right w:val="single" w:sz="4" w:space="0" w:color="auto"/>
            </w:tcBorders>
            <w:shd w:val="clear" w:fill="0B1D3A"/>
            <w:tcMar>
              <w:top w:w="0" w:type="dxa"/>
              <w:left w:w="108" w:type="dxa"/>
              <w:bottom w:w="0" w:type="dxa"/>
              <w:right w:w="108" w:type="dxa"/>
            </w:tcMar>
          </w:tcPr>
          <w:p w14:paraId="74F0A0CA">
            <w:pPr>
              <w:jc w:val="center"/>
            </w:pPr>
            <w:r>
              <w:rPr>
                <w:rFonts w:ascii="Cambria" w:hAnsi="Cambria" w:eastAsia="ＭＳ 明朝" w:cs="Cambria" w:asciiTheme="minorHAnsi" w:hAnsiTheme="minorHAnsi" w:eastAsiaTheme="minorEastAsia" w:csTheme="minorBidi"/>
                <w:b/>
                <w:bCs/>
                <w:color w:val="FFFFFF"/>
                <w:sz w:val="18"/>
                <w:szCs w:val="22"/>
              </w:rPr>
              <w:t>Current</w:t>
            </w:r>
          </w:p>
        </w:tc>
        <w:tc>
          <w:tcPr>
            <w:tcW w:w="2835" w:type="dxa"/>
            <w:tcBorders>
              <w:top w:val="single" w:sz="4" w:space="0" w:color="auto"/>
              <w:left w:val="single" w:sz="4" w:space="0" w:color="auto"/>
              <w:bottom w:val="single" w:sz="4" w:space="0" w:color="auto"/>
              <w:right w:val="single" w:sz="4" w:space="0" w:color="auto"/>
            </w:tcBorders>
            <w:shd w:val="clear" w:fill="0B1D3A"/>
            <w:tcMar>
              <w:top w:w="0" w:type="dxa"/>
              <w:left w:w="108" w:type="dxa"/>
              <w:bottom w:w="0" w:type="dxa"/>
              <w:right w:w="108" w:type="dxa"/>
            </w:tcMar>
          </w:tcPr>
          <w:p w14:paraId="5266B1D8">
            <w:pPr>
              <w:jc w:val="center"/>
            </w:pPr>
            <w:r>
              <w:rPr>
                <w:rFonts w:ascii="Cambria" w:hAnsi="Cambria" w:eastAsia="ＭＳ 明朝" w:cs="Cambria" w:asciiTheme="minorHAnsi" w:hAnsiTheme="minorHAnsi" w:eastAsiaTheme="minorEastAsia" w:csTheme="minorBidi"/>
                <w:b/>
                <w:bCs/>
                <w:color w:val="FFFFFF"/>
                <w:sz w:val="18"/>
                <w:szCs w:val="22"/>
              </w:rPr>
              <w:t>Recommended Upgrade</w:t>
            </w:r>
          </w:p>
        </w:tc>
        <w:tc>
          <w:tcPr>
            <w:tcW w:w="2268" w:type="dxa"/>
            <w:tcBorders>
              <w:top w:val="single" w:sz="4" w:space="0" w:color="auto"/>
              <w:left w:val="single" w:sz="4" w:space="0" w:color="auto"/>
              <w:bottom w:val="single" w:sz="4" w:space="0" w:color="auto"/>
              <w:right w:val="single" w:sz="4" w:space="0" w:color="auto"/>
            </w:tcBorders>
            <w:shd w:val="clear" w:fill="0B1D3A"/>
            <w:tcMar>
              <w:top w:w="0" w:type="dxa"/>
              <w:left w:w="108" w:type="dxa"/>
              <w:bottom w:w="0" w:type="dxa"/>
              <w:right w:w="108" w:type="dxa"/>
            </w:tcMar>
          </w:tcPr>
          <w:p w14:paraId="626BF211">
            <w:pPr>
              <w:jc w:val="center"/>
            </w:pPr>
            <w:r>
              <w:rPr>
                <w:rFonts w:ascii="Cambria" w:hAnsi="Cambria" w:eastAsia="ＭＳ 明朝" w:cs="Cambria" w:asciiTheme="minorHAnsi" w:hAnsiTheme="minorHAnsi" w:eastAsiaTheme="minorEastAsia" w:csTheme="minorBidi"/>
                <w:b/>
                <w:bCs/>
                <w:color w:val="FFFFFF"/>
                <w:sz w:val="18"/>
                <w:szCs w:val="22"/>
              </w:rPr>
              <w:t>Estimated Cost</w:t>
            </w:r>
          </w:p>
        </w:tc>
      </w:tr>
      <w:tr>
        <w:tc>
          <w:tcPr>
            <w:tcW w:w="1984" w:type="dxa"/>
            <w:tcBorders>
              <w:top w:val="single" w:sz="4" w:space="0" w:color="auto"/>
              <w:left w:val="single" w:sz="4" w:space="0" w:color="auto"/>
              <w:bottom w:val="single" w:sz="4" w:space="0" w:color="auto"/>
              <w:right w:val="single" w:sz="4" w:space="0" w:color="auto"/>
            </w:tcBorders>
            <w:shd w:val="clear" w:fill="F9F9F9"/>
            <w:tcMar>
              <w:top w:w="0" w:type="dxa"/>
              <w:left w:w="108" w:type="dxa"/>
              <w:bottom w:w="0" w:type="dxa"/>
              <w:right w:w="108" w:type="dxa"/>
            </w:tcMar>
          </w:tcPr>
          <w:p w14:paraId="167EF50C">
            <w:pPr>
              <w:spacing w:after="200" w:line="276" w:lineRule="auto"/>
            </w:pPr>
            <w:r>
              <w:rPr>
                <w:rFonts w:ascii="Cambria" w:hAnsi="Cambria" w:eastAsia="ＭＳ 明朝" w:cs="Cambria" w:asciiTheme="minorHAnsi" w:hAnsiTheme="minorHAnsi" w:eastAsiaTheme="minorEastAsia" w:csTheme="minorBidi"/>
                <w:b/>
                <w:bCs/>
                <w:color w:val="374151"/>
                <w:sz w:val="18"/>
                <w:szCs w:val="22"/>
              </w:rPr>
              <w:t>Graphics Card (GPU)</w:t>
            </w:r>
          </w:p>
        </w:tc>
        <w:tc>
          <w:tcPr>
            <w:tcW w:w="2268" w:type="dxa"/>
            <w:tcBorders>
              <w:top w:val="single" w:sz="4" w:space="0" w:color="auto"/>
              <w:left w:val="single" w:sz="4" w:space="0" w:color="auto"/>
              <w:bottom w:val="single" w:sz="4" w:space="0" w:color="auto"/>
              <w:right w:val="single" w:sz="4" w:space="0" w:color="auto"/>
            </w:tcBorders>
            <w:shd w:val="clear" w:fill="F9F9F9"/>
            <w:tcMar>
              <w:top w:w="0" w:type="dxa"/>
              <w:left w:w="108" w:type="dxa"/>
              <w:bottom w:w="0" w:type="dxa"/>
              <w:right w:w="108" w:type="dxa"/>
            </w:tcMar>
          </w:tcPr>
          <w:p w14:paraId="08E813B2">
            <w:pPr>
              <w:spacing w:after="200" w:line="276" w:lineRule="auto"/>
            </w:pPr>
            <w:r>
              <w:rPr>
                <w:rFonts w:ascii="Cambria" w:hAnsi="Cambria" w:eastAsia="ＭＳ 明朝" w:cs="Cambria" w:asciiTheme="minorHAnsi" w:hAnsiTheme="minorHAnsi" w:eastAsiaTheme="minorEastAsia" w:csTheme="minorBidi"/>
                <w:color w:val="374151"/>
                <w:sz w:val="18"/>
                <w:szCs w:val="22"/>
              </w:rPr>
              <w:t>RTX 4060 Ti — 8 GB VRAM</w:t>
            </w:r>
          </w:p>
        </w:tc>
        <w:tc>
          <w:tcPr>
            <w:tcW w:w="2835" w:type="dxa"/>
            <w:tcBorders>
              <w:top w:val="single" w:sz="4" w:space="0" w:color="auto"/>
              <w:left w:val="single" w:sz="4" w:space="0" w:color="auto"/>
              <w:bottom w:val="single" w:sz="4" w:space="0" w:color="auto"/>
              <w:right w:val="single" w:sz="4" w:space="0" w:color="auto"/>
            </w:tcBorders>
            <w:shd w:val="clear" w:fill="F9F9F9"/>
            <w:tcMar>
              <w:top w:w="0" w:type="dxa"/>
              <w:left w:w="108" w:type="dxa"/>
              <w:bottom w:w="0" w:type="dxa"/>
              <w:right w:w="108" w:type="dxa"/>
            </w:tcMar>
          </w:tcPr>
          <w:p w14:paraId="48869A6B">
            <w:pPr>
              <w:spacing w:after="200" w:line="276" w:lineRule="auto"/>
            </w:pPr>
            <w:r>
              <w:rPr>
                <w:rFonts w:ascii="Cambria" w:hAnsi="Cambria" w:eastAsia="ＭＳ 明朝" w:cs="Cambria" w:asciiTheme="minorHAnsi" w:hAnsiTheme="minorHAnsi" w:eastAsiaTheme="minorEastAsia" w:csTheme="minorBidi"/>
                <w:color w:val="374151"/>
                <w:sz w:val="18"/>
                <w:szCs w:val="22"/>
              </w:rPr>
              <w:t>RTX 4070 Ti Super — 16 GB VRAM</w:t>
            </w:r>
          </w:p>
        </w:tc>
        <w:tc>
          <w:tcPr>
            <w:tcW w:w="2268" w:type="dxa"/>
            <w:tcBorders>
              <w:top w:val="single" w:sz="4" w:space="0" w:color="auto"/>
              <w:left w:val="single" w:sz="4" w:space="0" w:color="auto"/>
              <w:bottom w:val="single" w:sz="4" w:space="0" w:color="auto"/>
              <w:right w:val="single" w:sz="4" w:space="0" w:color="auto"/>
            </w:tcBorders>
            <w:shd w:val="clear" w:fill="F9F9F9"/>
            <w:tcMar>
              <w:top w:w="0" w:type="dxa"/>
              <w:left w:w="108" w:type="dxa"/>
              <w:bottom w:w="0" w:type="dxa"/>
              <w:right w:w="108" w:type="dxa"/>
            </w:tcMar>
          </w:tcPr>
          <w:p w14:paraId="06310591">
            <w:pPr>
              <w:spacing w:after="200" w:line="276" w:lineRule="auto"/>
            </w:pPr>
            <w:r>
              <w:rPr>
                <w:rFonts w:ascii="Cambria" w:hAnsi="Cambria" w:eastAsia="ＭＳ 明朝" w:cs="Cambria" w:asciiTheme="minorHAnsi" w:hAnsiTheme="minorHAnsi" w:eastAsiaTheme="minorEastAsia" w:csTheme="minorBidi"/>
                <w:color w:val="374151"/>
                <w:sz w:val="18"/>
                <w:szCs w:val="22"/>
              </w:rPr>
              <w:t>₹72,000 – ₹80,000</w:t>
            </w:r>
          </w:p>
        </w:tc>
      </w:tr>
      <w:tr>
        <w:tc>
          <w:tcPr>
            <w:tcW w:w="1984"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tcPr>
          <w:p w14:paraId="57F511F2">
            <w:pPr>
              <w:spacing w:after="200" w:line="276" w:lineRule="auto"/>
            </w:pPr>
            <w:r>
              <w:rPr>
                <w:rFonts w:ascii="Cambria" w:hAnsi="Cambria" w:eastAsia="ＭＳ 明朝" w:cs="Cambria" w:asciiTheme="minorHAnsi" w:hAnsiTheme="minorHAnsi" w:eastAsiaTheme="minorEastAsia" w:csTheme="minorBidi"/>
                <w:b/>
                <w:bCs/>
                <w:color w:val="374151"/>
                <w:sz w:val="18"/>
                <w:szCs w:val="22"/>
              </w:rPr>
              <w:t>RAM</w:t>
            </w:r>
          </w:p>
        </w:tc>
        <w:tc>
          <w:tcPr>
            <w:tcW w:w="2268"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tcPr>
          <w:p w14:paraId="11137780">
            <w:pPr>
              <w:spacing w:after="200" w:line="276" w:lineRule="auto"/>
            </w:pPr>
            <w:r>
              <w:rPr>
                <w:rFonts w:ascii="Cambria" w:hAnsi="Cambria" w:eastAsia="ＭＳ 明朝" w:cs="Cambria" w:asciiTheme="minorHAnsi" w:hAnsiTheme="minorHAnsi" w:eastAsiaTheme="minorEastAsia" w:csTheme="minorBidi"/>
                <w:color w:val="374151"/>
                <w:sz w:val="18"/>
                <w:szCs w:val="22"/>
              </w:rPr>
              <w:t>32 GB DDR5</w:t>
            </w:r>
          </w:p>
        </w:tc>
        <w:tc>
          <w:tcPr>
            <w:tcW w:w="2835"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tcPr>
          <w:p w14:paraId="05BFA0A1">
            <w:pPr>
              <w:spacing w:after="200" w:line="276" w:lineRule="auto"/>
            </w:pPr>
            <w:r>
              <w:rPr>
                <w:rFonts w:ascii="Cambria" w:hAnsi="Cambria" w:eastAsia="ＭＳ 明朝" w:cs="Cambria" w:asciiTheme="minorHAnsi" w:hAnsiTheme="minorHAnsi" w:eastAsiaTheme="minorEastAsia" w:csTheme="minorBidi"/>
                <w:color w:val="374151"/>
                <w:sz w:val="18"/>
                <w:szCs w:val="22"/>
              </w:rPr>
              <w:t>64 GB DDR5 (add 2×16 GB kit)</w:t>
            </w:r>
          </w:p>
        </w:tc>
        <w:tc>
          <w:tcPr>
            <w:tcW w:w="2268"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tcPr>
          <w:p w14:paraId="60144C50">
            <w:pPr>
              <w:spacing w:after="200" w:line="276" w:lineRule="auto"/>
            </w:pPr>
            <w:r>
              <w:rPr>
                <w:rFonts w:ascii="Cambria" w:hAnsi="Cambria" w:eastAsia="ＭＳ 明朝" w:cs="Cambria" w:asciiTheme="minorHAnsi" w:hAnsiTheme="minorHAnsi" w:eastAsiaTheme="minorEastAsia" w:csTheme="minorBidi"/>
                <w:color w:val="374151"/>
                <w:sz w:val="18"/>
                <w:szCs w:val="22"/>
              </w:rPr>
              <w:t>₹8,000 – ₹12,000</w:t>
            </w:r>
          </w:p>
        </w:tc>
      </w:tr>
      <w:tr>
        <w:tc>
          <w:tcPr>
            <w:tcW w:w="1984" w:type="dxa"/>
            <w:tcBorders>
              <w:top w:val="single" w:sz="4" w:space="0" w:color="auto"/>
              <w:left w:val="single" w:sz="4" w:space="0" w:color="auto"/>
              <w:bottom w:val="single" w:sz="4" w:space="0" w:color="auto"/>
              <w:right w:val="single" w:sz="4" w:space="0" w:color="auto"/>
            </w:tcBorders>
            <w:shd w:val="clear" w:fill="F9F9F9"/>
            <w:tcMar>
              <w:top w:w="0" w:type="dxa"/>
              <w:left w:w="108" w:type="dxa"/>
              <w:bottom w:w="0" w:type="dxa"/>
              <w:right w:w="108" w:type="dxa"/>
            </w:tcMar>
          </w:tcPr>
          <w:p w14:paraId="47B611A4">
            <w:pPr>
              <w:spacing w:after="200" w:line="276" w:lineRule="auto"/>
            </w:pPr>
            <w:r>
              <w:rPr>
                <w:rFonts w:ascii="Cambria" w:hAnsi="Cambria" w:eastAsia="ＭＳ 明朝" w:cs="Cambria" w:asciiTheme="minorHAnsi" w:hAnsiTheme="minorHAnsi" w:eastAsiaTheme="minorEastAsia" w:csTheme="minorBidi"/>
                <w:b/>
                <w:bCs/>
                <w:color w:val="374151"/>
                <w:sz w:val="18"/>
                <w:szCs w:val="22"/>
              </w:rPr>
              <w:t>Operating System</w:t>
            </w:r>
          </w:p>
        </w:tc>
        <w:tc>
          <w:tcPr>
            <w:tcW w:w="2268" w:type="dxa"/>
            <w:tcBorders>
              <w:top w:val="single" w:sz="4" w:space="0" w:color="auto"/>
              <w:left w:val="single" w:sz="4" w:space="0" w:color="auto"/>
              <w:bottom w:val="single" w:sz="4" w:space="0" w:color="auto"/>
              <w:right w:val="single" w:sz="4" w:space="0" w:color="auto"/>
            </w:tcBorders>
            <w:shd w:val="clear" w:fill="F9F9F9"/>
            <w:tcMar>
              <w:top w:w="0" w:type="dxa"/>
              <w:left w:w="108" w:type="dxa"/>
              <w:bottom w:w="0" w:type="dxa"/>
              <w:right w:w="108" w:type="dxa"/>
            </w:tcMar>
          </w:tcPr>
          <w:p w14:paraId="4568743B">
            <w:pPr>
              <w:spacing w:after="200" w:line="276" w:lineRule="auto"/>
            </w:pPr>
            <w:r>
              <w:rPr>
                <w:rFonts w:ascii="Cambria" w:hAnsi="Cambria" w:eastAsia="ＭＳ 明朝" w:cs="Cambria" w:asciiTheme="minorHAnsi" w:hAnsiTheme="minorHAnsi" w:eastAsiaTheme="minorEastAsia" w:csTheme="minorBidi"/>
                <w:color w:val="374151"/>
                <w:sz w:val="18"/>
                <w:szCs w:val="22"/>
              </w:rPr>
              <w:t>Windows 11 Pro</w:t>
            </w:r>
          </w:p>
        </w:tc>
        <w:tc>
          <w:tcPr>
            <w:tcW w:w="2835" w:type="dxa"/>
            <w:tcBorders>
              <w:top w:val="single" w:sz="4" w:space="0" w:color="auto"/>
              <w:left w:val="single" w:sz="4" w:space="0" w:color="auto"/>
              <w:bottom w:val="single" w:sz="4" w:space="0" w:color="auto"/>
              <w:right w:val="single" w:sz="4" w:space="0" w:color="auto"/>
            </w:tcBorders>
            <w:shd w:val="clear" w:fill="F9F9F9"/>
            <w:tcMar>
              <w:top w:w="0" w:type="dxa"/>
              <w:left w:w="108" w:type="dxa"/>
              <w:bottom w:w="0" w:type="dxa"/>
              <w:right w:w="108" w:type="dxa"/>
            </w:tcMar>
          </w:tcPr>
          <w:p w14:paraId="2AE89C98">
            <w:pPr>
              <w:spacing w:after="200" w:line="276" w:lineRule="auto"/>
            </w:pPr>
            <w:r>
              <w:rPr>
                <w:rFonts w:ascii="Cambria" w:hAnsi="Cambria" w:eastAsia="ＭＳ 明朝" w:cs="Cambria" w:asciiTheme="minorHAnsi" w:hAnsiTheme="minorHAnsi" w:eastAsiaTheme="minorEastAsia" w:csTheme="minorBidi"/>
                <w:color w:val="374151"/>
                <w:sz w:val="18"/>
                <w:szCs w:val="22"/>
              </w:rPr>
              <w:t>Ubuntu Server 22.04 LTS (free)</w:t>
            </w:r>
          </w:p>
        </w:tc>
        <w:tc>
          <w:tcPr>
            <w:tcW w:w="2268" w:type="dxa"/>
            <w:tcBorders>
              <w:top w:val="single" w:sz="4" w:space="0" w:color="auto"/>
              <w:left w:val="single" w:sz="4" w:space="0" w:color="auto"/>
              <w:bottom w:val="single" w:sz="4" w:space="0" w:color="auto"/>
              <w:right w:val="single" w:sz="4" w:space="0" w:color="auto"/>
            </w:tcBorders>
            <w:shd w:val="clear" w:fill="F9F9F9"/>
            <w:tcMar>
              <w:top w:w="0" w:type="dxa"/>
              <w:left w:w="108" w:type="dxa"/>
              <w:bottom w:w="0" w:type="dxa"/>
              <w:right w:w="108" w:type="dxa"/>
            </w:tcMar>
          </w:tcPr>
          <w:p w14:paraId="52929B59">
            <w:pPr>
              <w:spacing w:after="200" w:line="276" w:lineRule="auto"/>
            </w:pPr>
            <w:r>
              <w:rPr>
                <w:rFonts w:ascii="Cambria" w:hAnsi="Cambria" w:eastAsia="ＭＳ 明朝" w:cs="Cambria" w:asciiTheme="minorHAnsi" w:hAnsiTheme="minorHAnsi" w:eastAsiaTheme="minorEastAsia" w:csTheme="minorBidi"/>
                <w:color w:val="374151"/>
                <w:sz w:val="18"/>
                <w:szCs w:val="22"/>
              </w:rPr>
              <w:t>₹0</w:t>
            </w:r>
          </w:p>
        </w:tc>
      </w:tr>
      <w:tr>
        <w:tc>
          <w:tcPr>
            <w:tcW w:w="1984" w:type="dxa"/>
            <w:tcBorders>
              <w:top w:val="single" w:sz="4" w:space="0" w:color="auto"/>
              <w:left w:val="single" w:sz="4" w:space="0" w:color="auto"/>
              <w:bottom w:val="single" w:sz="4" w:space="0" w:color="auto"/>
              <w:right w:val="single" w:sz="4" w:space="0" w:color="auto"/>
            </w:tcBorders>
            <w:shd w:val="clear" w:fill="FFF9E6"/>
            <w:tcMar>
              <w:top w:w="0" w:type="dxa"/>
              <w:left w:w="108" w:type="dxa"/>
              <w:bottom w:w="0" w:type="dxa"/>
              <w:right w:w="108" w:type="dxa"/>
            </w:tcMar>
          </w:tcPr>
          <w:p w14:paraId="1AEB8F27">
            <w:pPr>
              <w:spacing w:after="200" w:line="276" w:lineRule="auto"/>
            </w:pPr>
            <w:r>
              <w:rPr>
                <w:rFonts w:ascii="Cambria" w:hAnsi="Cambria" w:eastAsia="ＭＳ 明朝" w:cs="Cambria" w:asciiTheme="minorHAnsi" w:hAnsiTheme="minorHAnsi" w:eastAsiaTheme="minorEastAsia" w:csTheme="minorBidi"/>
                <w:b/>
                <w:bCs/>
                <w:color w:val="374151"/>
                <w:sz w:val="18"/>
                <w:szCs w:val="22"/>
              </w:rPr>
              <w:t>Total Upgrade Cost</w:t>
            </w:r>
          </w:p>
        </w:tc>
        <w:tc>
          <w:tcPr>
            <w:tcW w:w="2268" w:type="dxa"/>
            <w:tcBorders>
              <w:top w:val="single" w:sz="4" w:space="0" w:color="auto"/>
              <w:left w:val="single" w:sz="4" w:space="0" w:color="auto"/>
              <w:bottom w:val="single" w:sz="4" w:space="0" w:color="auto"/>
              <w:right w:val="single" w:sz="4" w:space="0" w:color="auto"/>
            </w:tcBorders>
            <w:shd w:val="clear" w:fill="FFF9E6"/>
            <w:tcMar>
              <w:top w:w="0" w:type="dxa"/>
              <w:left w:w="108" w:type="dxa"/>
              <w:bottom w:w="0" w:type="dxa"/>
              <w:right w:w="108" w:type="dxa"/>
            </w:tcMar>
          </w:tcPr>
          <w:p w14:paraId="2CFD742A">
            <w:pPr>
              <w:spacing w:after="200" w:line="276" w:lineRule="auto"/>
            </w:pPr>
            <w:r>
              <w:rPr>
                <w:rFonts w:ascii="Cambria" w:hAnsi="Cambria" w:eastAsia="ＭＳ 明朝" w:cs="Cambria" w:asciiTheme="minorHAnsi" w:hAnsiTheme="minorHAnsi" w:eastAsiaTheme="minorEastAsia" w:csTheme="minorBidi"/>
                <w:b/>
                <w:bCs/>
                <w:color w:val="374151"/>
                <w:sz w:val="18"/>
                <w:szCs w:val="22"/>
              </w:rPr>
              <w:t>—</w:t>
            </w:r>
          </w:p>
        </w:tc>
        <w:tc>
          <w:tcPr>
            <w:tcW w:w="2835" w:type="dxa"/>
            <w:tcBorders>
              <w:top w:val="single" w:sz="4" w:space="0" w:color="auto"/>
              <w:left w:val="single" w:sz="4" w:space="0" w:color="auto"/>
              <w:bottom w:val="single" w:sz="4" w:space="0" w:color="auto"/>
              <w:right w:val="single" w:sz="4" w:space="0" w:color="auto"/>
            </w:tcBorders>
            <w:shd w:val="clear" w:fill="FFF9E6"/>
            <w:tcMar>
              <w:top w:w="0" w:type="dxa"/>
              <w:left w:w="108" w:type="dxa"/>
              <w:bottom w:w="0" w:type="dxa"/>
              <w:right w:w="108" w:type="dxa"/>
            </w:tcMar>
          </w:tcPr>
          <w:p w14:paraId="02FDAC62">
            <w:pPr>
              <w:spacing w:after="200" w:line="276" w:lineRule="auto"/>
            </w:pPr>
            <w:r>
              <w:rPr>
                <w:rFonts w:ascii="Cambria" w:hAnsi="Cambria" w:eastAsia="ＭＳ 明朝" w:cs="Cambria" w:asciiTheme="minorHAnsi" w:hAnsiTheme="minorHAnsi" w:eastAsiaTheme="minorEastAsia" w:csTheme="minorBidi"/>
                <w:b/>
                <w:bCs/>
                <w:color w:val="374151"/>
                <w:sz w:val="18"/>
                <w:szCs w:val="22"/>
              </w:rPr>
              <w:t>—</w:t>
            </w:r>
          </w:p>
        </w:tc>
        <w:tc>
          <w:tcPr>
            <w:tcW w:w="2268" w:type="dxa"/>
            <w:tcBorders>
              <w:top w:val="single" w:sz="4" w:space="0" w:color="auto"/>
              <w:left w:val="single" w:sz="4" w:space="0" w:color="auto"/>
              <w:bottom w:val="single" w:sz="4" w:space="0" w:color="auto"/>
              <w:right w:val="single" w:sz="4" w:space="0" w:color="auto"/>
            </w:tcBorders>
            <w:shd w:val="clear" w:fill="FFF9E6"/>
            <w:tcMar>
              <w:top w:w="0" w:type="dxa"/>
              <w:left w:w="108" w:type="dxa"/>
              <w:bottom w:w="0" w:type="dxa"/>
              <w:right w:w="108" w:type="dxa"/>
            </w:tcMar>
          </w:tcPr>
          <w:p w14:paraId="594698F4">
            <w:pPr>
              <w:spacing w:after="200" w:line="276" w:lineRule="auto"/>
            </w:pPr>
            <w:r>
              <w:rPr>
                <w:rFonts w:ascii="Cambria" w:hAnsi="Cambria" w:eastAsia="ＭＳ 明朝" w:cs="Cambria" w:asciiTheme="minorHAnsi" w:hAnsiTheme="minorHAnsi" w:eastAsiaTheme="minorEastAsia" w:csTheme="minorBidi"/>
                <w:b/>
                <w:bCs/>
                <w:color w:val="374151"/>
                <w:sz w:val="18"/>
                <w:szCs w:val="22"/>
              </w:rPr>
              <w:t>₹80,000 – ₹92,000</w:t>
            </w:r>
          </w:p>
        </w:tc>
      </w:tr>
    </w:tbl>
    <w:p w14:paraId="68FD489C">
      <w:pPr>
        <w:spacing w:after="80"/>
      </w:pPr>
      <w:r>
        <w:rPr>
          <w:rFonts w:ascii="Cambria" w:hAnsi="Cambria" w:eastAsia="ＭＳ 明朝" w:cs="Cambria" w:asciiTheme="minorHAnsi" w:hAnsiTheme="minorHAnsi" w:eastAsiaTheme="minorEastAsia" w:csTheme="minorBidi"/>
          <w:color w:val="374151"/>
          <w:sz w:val="22"/>
          <w:szCs w:val="22"/>
        </w:rPr>
        <w:t>After upgrade, the recommended local model is Qwen2.5 14B — significantly better than 7B, with consistent structured output and rubric-aware evaluation.</w:t>
      </w:r>
    </w:p>
    <w:p w14:paraId="10574BFE">
      <w:pPr>
        <w:spacing w:before="120" w:after="80"/>
      </w:pPr>
      <w:r>
        <w:rPr>
          <w:rFonts w:ascii="Cambria" w:hAnsi="Cambria" w:eastAsia="ＭＳ 明朝" w:cs="Cambria" w:asciiTheme="minorHAnsi" w:hAnsiTheme="minorHAnsi" w:eastAsiaTheme="minorEastAsia" w:csTheme="minorBidi"/>
          <w:b/>
          <w:bCs/>
          <w:color w:val="0B1D3A"/>
          <w:sz w:val="22"/>
          <w:szCs w:val="22"/>
        </w:rPr>
        <w:t>What you gain with the upgrade + Qwen 14B:</w:t>
      </w:r>
    </w:p>
    <w:p w14:paraId="36A3B520">
      <w:pPr>
        <w:pStyle w:val="ListBullet"/>
        <w:spacing w:before="40" w:after="40"/>
        <w:ind w:left="360" w:hanging="360"/>
      </w:pPr>
      <w:r>
        <w:rPr>
          <w:rFonts w:ascii="Cambria" w:hAnsi="Cambria" w:eastAsia="ＭＳ 明朝" w:cs="Cambria" w:asciiTheme="minorHAnsi" w:hAnsiTheme="minorHAnsi" w:eastAsiaTheme="minorEastAsia" w:csTheme="minorBidi"/>
          <w:color w:val="374151"/>
          <w:sz w:val="22"/>
          <w:szCs w:val="22"/>
        </w:rPr>
        <w:t>Feedback depth improves significantly — closer to a trained teacher rather than an intern</w:t>
      </w:r>
    </w:p>
    <w:p w14:paraId="363964DF">
      <w:pPr>
        <w:pStyle w:val="ListBullet"/>
        <w:spacing w:before="40" w:after="40"/>
        <w:ind w:left="360" w:hanging="360"/>
      </w:pPr>
      <w:r>
        <w:rPr>
          <w:rFonts w:ascii="Cambria" w:hAnsi="Cambria" w:eastAsia="ＭＳ 明朝" w:cs="Cambria" w:asciiTheme="minorHAnsi" w:hAnsiTheme="minorHAnsi" w:eastAsiaTheme="minorEastAsia" w:csTheme="minorBidi"/>
          <w:color w:val="374151"/>
          <w:sz w:val="22"/>
          <w:szCs w:val="22"/>
        </w:rPr>
        <w:t>Grade consistency becomes reliable — similar quality answers receive similar marks</w:t>
      </w:r>
    </w:p>
    <w:p w14:paraId="52F26C39">
      <w:pPr>
        <w:pStyle w:val="ListBullet"/>
        <w:spacing w:before="40" w:after="40"/>
        <w:ind w:left="360" w:hanging="360"/>
      </w:pPr>
      <w:r>
        <w:rPr>
          <w:rFonts w:ascii="Cambria" w:hAnsi="Cambria" w:eastAsia="ＭＳ 明朝" w:cs="Cambria" w:asciiTheme="minorHAnsi" w:hAnsiTheme="minorHAnsi" w:eastAsiaTheme="minorEastAsia" w:csTheme="minorBidi"/>
          <w:color w:val="374151"/>
          <w:sz w:val="22"/>
          <w:szCs w:val="22"/>
        </w:rPr>
        <w:t>Structured JSON (per-question scores) is stable and accurate 95%+ of the time</w:t>
      </w:r>
    </w:p>
    <w:p w14:paraId="465D8E10">
      <w:pPr>
        <w:pStyle w:val="ListBullet"/>
        <w:spacing w:before="40" w:after="40"/>
        <w:ind w:left="360" w:hanging="360"/>
      </w:pPr>
      <w:r>
        <w:rPr>
          <w:rFonts w:ascii="Cambria" w:hAnsi="Cambria" w:eastAsia="ＭＳ 明朝" w:cs="Cambria" w:asciiTheme="minorHAnsi" w:hAnsiTheme="minorHAnsi" w:eastAsiaTheme="minorEastAsia" w:csTheme="minorBidi"/>
          <w:color w:val="374151"/>
          <w:sz w:val="22"/>
          <w:szCs w:val="22"/>
        </w:rPr>
        <w:t>Handles up to 30–40 students simultaneously with the async queue system</w:t>
      </w:r>
    </w:p>
    <w:p w14:paraId="097B06AA">
      <w:pPr>
        <w:pStyle w:val="ListBullet"/>
        <w:spacing w:before="40" w:after="40"/>
        <w:ind w:left="360" w:hanging="360"/>
      </w:pPr>
      <w:r>
        <w:rPr>
          <w:rFonts w:ascii="Cambria" w:hAnsi="Cambria" w:eastAsia="ＭＳ 明朝" w:cs="Cambria" w:asciiTheme="minorHAnsi" w:hAnsiTheme="minorHAnsi" w:eastAsiaTheme="minorEastAsia" w:csTheme="minorBidi"/>
          <w:color w:val="374151"/>
          <w:sz w:val="22"/>
          <w:szCs w:val="22"/>
        </w:rPr>
        <w:t>Fully offline — no student data ever leaves the building</w:t>
      </w:r>
    </w:p>
    <w:p w14:paraId="17DCD030">
      <w:pPr>
        <w:spacing w:after="80"/>
      </w:pPr>
      <w:r>
        <w:rPr>
          <w:rFonts w:ascii="Cambria" w:hAnsi="Cambria" w:eastAsia="ＭＳ 明朝" w:cs="Cambria" w:asciiTheme="minorHAnsi" w:hAnsiTheme="minorHAnsi" w:eastAsiaTheme="minorEastAsia" w:csTheme="minorBidi"/>
          <w:i/>
          <w:iCs/>
          <w:color w:val="6B7280"/>
          <w:sz w:val="20"/>
          <w:szCs w:val="22"/>
        </w:rPr>
        <w:t>Note: Quality will still not match GPT-4o or Gemini. However, it becomes a credible and trustworthy evaluation tool for academic use.</w:t>
      </w:r>
    </w:p>
    <w:p w14:paraId="0EA64AFF">
      <w:pPr>
        <w:pBdr>
          <w:bottom w:val="single" w:sz="6" w:space="1" w:color="C9A227"/>
        </w:pBdr>
        <w:spacing w:before="80" w:after="80"/>
      </w:pPr>
    </w:p>
    <w:p w14:paraId="57B9C2C1">
      <w:pPr>
        <w:spacing w:before="280" w:after="120"/>
      </w:pPr>
    </w:p>
    <w:p w14:paraId="11151F66">
      <w:pPr>
        <w:spacing w:before="200"/>
        <w:jc w:val="center"/>
      </w:pPr>
    </w:p>
    <w:sectPr>
      <w:pgSz w:w="12240" w:h="15840"/>
      <w:pgMar w:top="1134" w:right="1417" w:bottom="1134" w:left="1417"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2026-08-03T06:53:30.324Z</dcterms:modified>
  <cp:category/>
</cp:coreProperties>
</file>