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B1D3A"/>
          <w:sz w:val="44"/>
        </w:rPr>
        <w:t>AI Engine Strategy for PCDC Platform</w:t>
      </w:r>
    </w:p>
    <w:p>
      <w:pPr>
        <w:spacing w:after="40"/>
        <w:jc w:val="center"/>
      </w:pPr>
      <w:r>
        <w:rPr>
          <w:i/>
          <w:color w:val="C9A227"/>
          <w:sz w:val="24"/>
        </w:rPr>
        <w:t>Revised Guide — Incorporating Client Feedback &amp; Actual Usage Volume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00" w:after="120"/>
      </w:pPr>
      <w:r>
        <w:rPr>
          <w:b/>
          <w:color w:val="0B1D3A"/>
          <w:sz w:val="28"/>
        </w:rPr>
        <w:t>Revised Understanding of the System</w:t>
      </w:r>
    </w:p>
    <w:p>
      <w:pPr>
        <w:spacing w:after="80"/>
      </w:pPr>
      <w:r>
        <w:rPr>
          <w:b w:val="0"/>
          <w:i w:val="0"/>
          <w:color w:val="374151"/>
          <w:sz w:val="22"/>
        </w:rPr>
        <w:t>Based on client feedback, the following key facts have been incorporated into this revised document: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The system will maintain a large bank of case studies and simulations — faculty select and assign from this bank rather than generating a new case every time.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Each student receives 40 assignments (cases + simulations) per semester of 5 months.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Current student base is 5,000+ — resulting in approximately 40,000 evaluations per month.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The long-term plan is to use an Internal LLM (trained progressively on the platform's data) as the primary engine.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Frontier AI (GPT-4o, Gemini, etc.) will be used during the initial phase and as a fallback when the internal model cannot provide adequate output.</w:t>
      </w:r>
    </w:p>
    <w:p>
      <w:pPr>
        <w:spacing w:after="160"/>
      </w:pPr>
      <w:r>
        <w:rPr>
          <w:b/>
          <w:i w:val="0"/>
          <w:color w:val="374151"/>
          <w:sz w:val="22"/>
        </w:rPr>
        <w:t>This hybrid architecture is a sound and cost-effective strategy. This document outlines how it should be implemented and what the costs look like at 40,000 evaluations/month.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80" w:after="120"/>
      </w:pPr>
      <w:r>
        <w:rPr>
          <w:b/>
          <w:color w:val="0B1D3A"/>
          <w:sz w:val="28"/>
        </w:rPr>
        <w:t>Actual Cost at 40,000 Evaluations per Month</w:t>
      </w:r>
    </w:p>
    <w:p>
      <w:pPr>
        <w:spacing w:after="80"/>
      </w:pPr>
      <w:r>
        <w:rPr>
          <w:b w:val="0"/>
          <w:i w:val="0"/>
          <w:color w:val="374151"/>
          <w:sz w:val="22"/>
        </w:rPr>
        <w:t>Previous estimates were based on 3 evaluations per student per month. The correct figure is 40 assignments per semester = 8 evaluations per month per student × 5,000 students = 40,000 evaluations/month.</w:t>
      </w:r>
    </w:p>
    <w:p>
      <w:pPr>
        <w:spacing w:after="160"/>
      </w:pPr>
      <w:r>
        <w:rPr>
          <w:b w:val="0"/>
          <w:i/>
          <w:color w:val="374151"/>
          <w:sz w:val="20"/>
        </w:rPr>
        <w:t>Token usage per evaluation: ~2,500 input tokens + ~700 output tokens (evaluation report card).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Model</w:t>
            </w:r>
          </w:p>
        </w:tc>
        <w:tc>
          <w:tcPr>
            <w:tcW w:type="dxa" w:w="1701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per Evaluation</w:t>
            </w:r>
          </w:p>
        </w:tc>
        <w:tc>
          <w:tcPr>
            <w:tcW w:type="dxa" w:w="2154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Cost (40,000 eval)</w:t>
            </w:r>
          </w:p>
        </w:tc>
        <w:tc>
          <w:tcPr>
            <w:tcW w:type="dxa" w:w="2154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type="dxa" w:w="141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Quality</w:t>
            </w:r>
          </w:p>
        </w:tc>
      </w:tr>
      <w:tr>
        <w:tc>
          <w:tcPr>
            <w:tcW w:type="dxa" w:w="2154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Gemini 2.0 Flash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color w:val="374151"/>
                <w:sz w:val="18"/>
              </w:rPr>
              <w:t>~₹0.04</w:t>
            </w:r>
          </w:p>
        </w:tc>
        <w:tc>
          <w:tcPr>
            <w:tcW w:type="dxa" w:w="2154"/>
            <w:shd w:val="clear" w:color="auto" w:fill="F9F9F9"/>
          </w:tcPr>
          <w:p>
            <w:r>
              <w:rPr>
                <w:color w:val="374151"/>
                <w:sz w:val="18"/>
              </w:rPr>
              <w:t>~₹1,700 – ₹2,000</w:t>
            </w:r>
          </w:p>
        </w:tc>
        <w:tc>
          <w:tcPr>
            <w:tcW w:type="dxa" w:w="2154"/>
            <w:shd w:val="clear" w:color="auto" w:fill="F9F9F9"/>
          </w:tcPr>
          <w:p>
            <w:r>
              <w:rPr>
                <w:color w:val="374151"/>
                <w:sz w:val="18"/>
              </w:rPr>
              <w:t>~₹20,000 – ₹24,000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color w:val="374151"/>
                <w:sz w:val="18"/>
              </w:rPr>
              <w:t>Very good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GPT-4o Mini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18"/>
              </w:rPr>
              <w:t>~₹0.07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374151"/>
                <w:sz w:val="18"/>
              </w:rPr>
              <w:t>~₹2,800 – ₹3,200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374151"/>
                <w:sz w:val="18"/>
              </w:rPr>
              <w:t>~₹33,000 – ₹38,000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374151"/>
                <w:sz w:val="18"/>
              </w:rPr>
              <w:t>Very good</w:t>
            </w:r>
          </w:p>
        </w:tc>
      </w:tr>
      <w:tr>
        <w:tc>
          <w:tcPr>
            <w:tcW w:type="dxa" w:w="2154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GPT-4.1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color w:val="374151"/>
                <w:sz w:val="18"/>
              </w:rPr>
              <w:t>~₹0.90</w:t>
            </w:r>
          </w:p>
        </w:tc>
        <w:tc>
          <w:tcPr>
            <w:tcW w:type="dxa" w:w="2154"/>
            <w:shd w:val="clear" w:color="auto" w:fill="F9F9F9"/>
          </w:tcPr>
          <w:p>
            <w:r>
              <w:rPr>
                <w:color w:val="374151"/>
                <w:sz w:val="18"/>
              </w:rPr>
              <w:t>~₹36,000 – ₹40,000</w:t>
            </w:r>
          </w:p>
        </w:tc>
        <w:tc>
          <w:tcPr>
            <w:tcW w:type="dxa" w:w="2154"/>
            <w:shd w:val="clear" w:color="auto" w:fill="F9F9F9"/>
          </w:tcPr>
          <w:p>
            <w:r>
              <w:rPr>
                <w:color w:val="374151"/>
                <w:sz w:val="18"/>
              </w:rPr>
              <w:t>~₹4,30,000 – ₹4,80,000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color w:val="374151"/>
                <w:sz w:val="18"/>
              </w:rPr>
              <w:t>Excellent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GPT-4o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18"/>
              </w:rPr>
              <w:t>~₹1.09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374151"/>
                <w:sz w:val="18"/>
              </w:rPr>
              <w:t>~₹43,000 – ₹48,000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374151"/>
                <w:sz w:val="18"/>
              </w:rPr>
              <w:t>~₹5,15,000 – ₹5,75,000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374151"/>
                <w:sz w:val="18"/>
              </w:rPr>
              <w:t>Excellent</w:t>
            </w:r>
          </w:p>
        </w:tc>
      </w:tr>
      <w:tr>
        <w:tc>
          <w:tcPr>
            <w:tcW w:type="dxa" w:w="2154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Claude Sonnet 4.5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color w:val="374151"/>
                <w:sz w:val="18"/>
              </w:rPr>
              <w:t>~₹1.50</w:t>
            </w:r>
          </w:p>
        </w:tc>
        <w:tc>
          <w:tcPr>
            <w:tcW w:type="dxa" w:w="2154"/>
            <w:shd w:val="clear" w:color="auto" w:fill="F9F9F9"/>
          </w:tcPr>
          <w:p>
            <w:r>
              <w:rPr>
                <w:color w:val="374151"/>
                <w:sz w:val="18"/>
              </w:rPr>
              <w:t>~₹60,000 – ₹65,000</w:t>
            </w:r>
          </w:p>
        </w:tc>
        <w:tc>
          <w:tcPr>
            <w:tcW w:type="dxa" w:w="2154"/>
            <w:shd w:val="clear" w:color="auto" w:fill="F9F9F9"/>
          </w:tcPr>
          <w:p>
            <w:r>
              <w:rPr>
                <w:color w:val="374151"/>
                <w:sz w:val="18"/>
              </w:rPr>
              <w:t>~₹7,20,000 – ₹7,80,000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color w:val="374151"/>
                <w:sz w:val="18"/>
              </w:rPr>
              <w:t>Excellent</w:t>
            </w:r>
          </w:p>
        </w:tc>
      </w:tr>
    </w:tbl>
    <w:p>
      <w:pPr>
        <w:spacing w:after="160"/>
      </w:pPr>
      <w:r>
        <w:rPr>
          <w:b w:val="0"/>
          <w:i/>
          <w:color w:val="374151"/>
          <w:sz w:val="20"/>
        </w:rPr>
        <w:t>Note: Case generation calls (AI writing new cases) will be infrequent given the large case bank — this cost is negligible and not included above.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80" w:after="120"/>
      </w:pPr>
      <w:r>
        <w:rPr>
          <w:b/>
          <w:color w:val="0284C7"/>
          <w:sz w:val="28"/>
        </w:rPr>
        <w:t>Recommended Architecture — Hybrid AI (Internal + Frontier)</w:t>
      </w:r>
    </w:p>
    <w:p>
      <w:pPr>
        <w:spacing w:after="120"/>
      </w:pPr>
      <w:r>
        <w:rPr>
          <w:b w:val="0"/>
          <w:i w:val="0"/>
          <w:color w:val="374151"/>
          <w:sz w:val="22"/>
        </w:rPr>
        <w:t>This is the right long-term approach for PCDC. Here is how it works in practice:</w:t>
      </w:r>
    </w:p>
    <w:p>
      <w:pPr>
        <w:spacing w:before="120" w:after="120"/>
      </w:pPr>
      <w:r>
        <w:rPr>
          <w:b/>
          <w:color w:val="C9A227"/>
          <w:sz w:val="24"/>
        </w:rPr>
        <w:t>Phase 1 — Frontier AI Primary (Initial launch)</w:t>
      </w:r>
    </w:p>
    <w:p>
      <w:pPr>
        <w:spacing w:after="80"/>
      </w:pPr>
      <w:r>
        <w:rPr>
          <w:b w:val="0"/>
          <w:i w:val="0"/>
          <w:color w:val="374151"/>
          <w:sz w:val="22"/>
        </w:rPr>
        <w:t>Use Gemini 2.0 Flash or GPT-4o Mini for all evaluations from day one.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All student evaluations, rapid fire scoring, and AI coaching handled by the cloud API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Every AI interaction — question, answer, evaluation, feedback — is logged in the database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This logged data becomes the training dataset for the internal model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Monthly cost at 40,000 evaluations: ₹1,700 – ₹3,200 depending on model chosen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Timeline: Use this phase for 6–12 months to build a quality dataset</w:t>
      </w:r>
    </w:p>
    <w:p>
      <w:pPr>
        <w:spacing w:before="160" w:after="120"/>
      </w:pPr>
      <w:r>
        <w:rPr>
          <w:b/>
          <w:color w:val="0284C7"/>
          <w:sz w:val="24"/>
        </w:rPr>
        <w:t>Phase 2 — Internal LLM Training</w:t>
      </w:r>
    </w:p>
    <w:p>
      <w:pPr>
        <w:spacing w:after="80"/>
      </w:pPr>
      <w:r>
        <w:rPr>
          <w:b w:val="0"/>
          <w:i w:val="0"/>
          <w:color w:val="374151"/>
          <w:sz w:val="22"/>
        </w:rPr>
        <w:t>Once sufficient high-quality data is collected from Phase 1: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Fine-tune an open-source model (Qwen2.5 14B or LLaMA 3.1 70B) on the collected evaluation data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The internal model learns the platform's specific rubric style, marking patterns, and feedback format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This is called supervised fine-tuning (SFT) — the frontier AI outputs become the training labels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Minimum dataset needed: ~50,000–100,000 evaluated examples (achievable in 2–3 months at current volume)</w:t>
      </w:r>
    </w:p>
    <w:p>
      <w:pPr>
        <w:spacing w:before="160" w:after="120"/>
      </w:pPr>
      <w:r>
        <w:rPr>
          <w:b/>
          <w:color w:val="16A34A"/>
          <w:sz w:val="24"/>
        </w:rPr>
        <w:t>Phase 3 — Internal LLM Primary + Frontier Fallback</w:t>
      </w:r>
    </w:p>
    <w:p>
      <w:pPr>
        <w:spacing w:after="80"/>
      </w:pPr>
      <w:r>
        <w:rPr>
          <w:b w:val="0"/>
          <w:i w:val="0"/>
          <w:color w:val="374151"/>
          <w:sz w:val="22"/>
        </w:rPr>
        <w:t>The internal model handles the majority of evaluations. Frontier AI is called only when: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The internal model's confidence score is below a set threshold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A new type of case or question that the internal model hasn't seen before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Faculty or admin flags a specific evaluation for re-assessment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The internal model returns malformed or incomplete output</w:t>
      </w:r>
    </w:p>
    <w:p>
      <w:pPr>
        <w:spacing w:after="80"/>
      </w:pPr>
      <w:r>
        <w:rPr>
          <w:b/>
          <w:i w:val="0"/>
          <w:color w:val="374151"/>
          <w:sz w:val="22"/>
        </w:rPr>
        <w:t>Expected split at maturity: 85–90% internal, 10–15% frontier API.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80" w:after="120"/>
      </w:pPr>
      <w:r>
        <w:rPr>
          <w:b/>
          <w:color w:val="0B1D3A"/>
          <w:sz w:val="28"/>
        </w:rPr>
        <w:t>Cost Comparison — Full Frontier vs Hybrid Model at 40,000 Evaluations/Month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948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158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Frontier API Calls/Month</w:t>
            </w:r>
          </w:p>
        </w:tc>
        <w:tc>
          <w:tcPr>
            <w:tcW w:type="dxa" w:w="158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API Cost</w:t>
            </w:r>
          </w:p>
        </w:tc>
        <w:tc>
          <w:tcPr>
            <w:tcW w:type="dxa" w:w="158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API Cost</w:t>
            </w:r>
          </w:p>
        </w:tc>
        <w:tc>
          <w:tcPr>
            <w:tcW w:type="dxa" w:w="158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Infra Cost/Month</w:t>
            </w:r>
          </w:p>
        </w:tc>
      </w:tr>
      <w:tr>
        <w:tc>
          <w:tcPr>
            <w:tcW w:type="dxa" w:w="2948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100% Frontier (Gemini Flash)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40,000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₹1,700 – ₹2,000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₹20,000 – ₹24,000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Nil (cloud)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100% Frontier (GPT-4o Mini)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40,000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₹2,800 – ₹3,200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₹33,000 – ₹38,000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Nil (cloud)</w:t>
            </w:r>
          </w:p>
        </w:tc>
      </w:tr>
      <w:tr>
        <w:tc>
          <w:tcPr>
            <w:tcW w:type="dxa" w:w="2948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Hybrid — 85% internal / 15% API (Gemini Flash)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6,000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~₹260 – ₹300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~₹3,100 – ₹3,600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Server power ~₹2,000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Hybrid — 85% internal / 15% API (GPT-4o Mini)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6,000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~₹420 – ₹480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~₹5,000 – ₹5,800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Server power ~₹2,000</w:t>
            </w:r>
          </w:p>
        </w:tc>
      </w:tr>
      <w:tr>
        <w:tc>
          <w:tcPr>
            <w:tcW w:type="dxa" w:w="2948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100% Internal LLM (long term)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₹0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₹0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Server power ~₹2,000</w:t>
            </w:r>
          </w:p>
        </w:tc>
      </w:tr>
    </w:tbl>
    <w:p>
      <w:pPr>
        <w:spacing w:after="80"/>
      </w:pPr>
      <w:r>
        <w:rPr>
          <w:b w:val="0"/>
          <w:i/>
          <w:color w:val="374151"/>
          <w:sz w:val="20"/>
        </w:rPr>
        <w:t>Server power estimate based on RTX 4060 Ti running 8–10 hours/day at ~350W total system draw.</w:t>
      </w:r>
    </w:p>
    <w:p>
      <w:pPr>
        <w:spacing w:after="160"/>
      </w:pPr>
      <w:r>
        <w:rPr>
          <w:b/>
          <w:i w:val="0"/>
          <w:color w:val="374151"/>
          <w:sz w:val="22"/>
        </w:rPr>
        <w:t>The hybrid model reduces ongoing API costs by 85–90% once the internal LLM is trained, while maintaining quality through selective frontier fallback.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80" w:after="120"/>
      </w:pPr>
      <w:r>
        <w:rPr>
          <w:b/>
          <w:color w:val="0B1D3A"/>
          <w:sz w:val="28"/>
        </w:rPr>
        <w:t>Hardware Requirement for the Internal LLM</w:t>
      </w:r>
    </w:p>
    <w:p>
      <w:pPr>
        <w:spacing w:after="80"/>
      </w:pPr>
      <w:r>
        <w:rPr>
          <w:b w:val="0"/>
          <w:i w:val="0"/>
          <w:color w:val="374151"/>
          <w:sz w:val="22"/>
        </w:rPr>
        <w:t>The current server (RTX 4060 Ti 8 GB) is not sufficient to run the internal LLM at production quality. To serve 40,000 evaluations/month reliably, the following upgrade is needed: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84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288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for Internal LLM</w:t>
            </w:r>
          </w:p>
        </w:tc>
        <w:tc>
          <w:tcPr>
            <w:tcW w:type="dxa" w:w="1984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814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GPU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color w:val="374151"/>
                <w:sz w:val="18"/>
              </w:rPr>
              <w:t>RTX 4060 Ti — 8 GB VRAM</w:t>
            </w:r>
          </w:p>
        </w:tc>
        <w:tc>
          <w:tcPr>
            <w:tcW w:type="dxa" w:w="3288"/>
            <w:shd w:val="clear" w:color="auto" w:fill="F9F9F9"/>
          </w:tcPr>
          <w:p>
            <w:r>
              <w:rPr>
                <w:color w:val="374151"/>
                <w:sz w:val="18"/>
              </w:rPr>
              <w:t>RTX 4070 Ti Super — 16 GB VRAM (minimum)</w:t>
              <w:br/>
              <w:t>or RTX 4090 — 24 GB VRAM (recommended)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color w:val="374151"/>
                <w:sz w:val="18"/>
              </w:rPr>
              <w:t>₹75,000 – ₹1,80,000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RAM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374151"/>
                <w:sz w:val="18"/>
              </w:rPr>
              <w:t>32 GB DDR5</w:t>
            </w:r>
          </w:p>
        </w:tc>
        <w:tc>
          <w:tcPr>
            <w:tcW w:type="dxa" w:w="3288"/>
            <w:shd w:val="clear" w:color="auto" w:fill="FFFFFF"/>
          </w:tcPr>
          <w:p>
            <w:r>
              <w:rPr>
                <w:color w:val="374151"/>
                <w:sz w:val="18"/>
              </w:rPr>
              <w:t>64 GB DDR5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374151"/>
                <w:sz w:val="18"/>
              </w:rPr>
              <w:t>₹8,000 – ₹12,000</w:t>
            </w:r>
          </w:p>
        </w:tc>
      </w:tr>
      <w:tr>
        <w:tc>
          <w:tcPr>
            <w:tcW w:type="dxa" w:w="1814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Operating System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color w:val="374151"/>
                <w:sz w:val="18"/>
              </w:rPr>
              <w:t>Windows 11 Pro</w:t>
            </w:r>
          </w:p>
        </w:tc>
        <w:tc>
          <w:tcPr>
            <w:tcW w:type="dxa" w:w="3288"/>
            <w:shd w:val="clear" w:color="auto" w:fill="F9F9F9"/>
          </w:tcPr>
          <w:p>
            <w:r>
              <w:rPr>
                <w:color w:val="374151"/>
                <w:sz w:val="18"/>
              </w:rPr>
              <w:t>Ubuntu Server 22.04 LTS (enables vLLM)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color w:val="374151"/>
                <w:sz w:val="18"/>
              </w:rPr>
              <w:t>₹0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LLM Server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374151"/>
                <w:sz w:val="18"/>
              </w:rPr>
              <w:t>Not installed</w:t>
            </w:r>
          </w:p>
        </w:tc>
        <w:tc>
          <w:tcPr>
            <w:tcW w:type="dxa" w:w="3288"/>
            <w:shd w:val="clear" w:color="auto" w:fill="FFFFFF"/>
          </w:tcPr>
          <w:p>
            <w:r>
              <w:rPr>
                <w:color w:val="374151"/>
                <w:sz w:val="18"/>
              </w:rPr>
              <w:t>vLLM (open source, runs fine-tuned model)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374151"/>
                <w:sz w:val="18"/>
              </w:rPr>
              <w:t>₹0</w:t>
            </w:r>
          </w:p>
        </w:tc>
      </w:tr>
    </w:tbl>
    <w:p>
      <w:pPr>
        <w:spacing w:after="80"/>
      </w:pPr>
      <w:r>
        <w:rPr>
          <w:b w:val="0"/>
          <w:i w:val="0"/>
          <w:color w:val="374151"/>
          <w:sz w:val="22"/>
        </w:rPr>
        <w:t>Without the hardware upgrade, the internal LLM phase cannot be implemented. The frontier API phase (Phase 1) can begin immediately on the current hardware with zero changes.</w:t>
      </w:r>
    </w:p>
    <w:p>
      <w:pPr>
        <w:spacing w:after="160"/>
      </w:pPr>
      <w:r>
        <w:rPr>
          <w:b/>
          <w:i w:val="0"/>
          <w:color w:val="374151"/>
          <w:sz w:val="22"/>
        </w:rPr>
        <w:t>Recommended path: Start Phase 1 now on current hardware → collect data → purchase upgrade when internal model is ready to deploy.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80" w:after="120"/>
      </w:pPr>
      <w:r>
        <w:rPr>
          <w:b/>
          <w:color w:val="0B1D3A"/>
          <w:sz w:val="28"/>
        </w:rPr>
        <w:t>Phased Cost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24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268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Engine</w:t>
            </w:r>
          </w:p>
        </w:tc>
        <w:tc>
          <w:tcPr>
            <w:tcW w:type="dxa" w:w="1587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2948"/>
            <w:shd w:val="clear" w:color="auto" w:fill="0B1D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1247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Phase 1</w:t>
              <w:br/>
              <w:t>Launch</w:t>
            </w:r>
          </w:p>
        </w:tc>
        <w:tc>
          <w:tcPr>
            <w:tcW w:type="dxa" w:w="1247"/>
            <w:shd w:val="clear" w:color="auto" w:fill="F9F9F9"/>
          </w:tcPr>
          <w:p>
            <w:r>
              <w:rPr>
                <w:color w:val="374151"/>
                <w:sz w:val="18"/>
              </w:rPr>
              <w:t>Months 1–6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color w:val="374151"/>
                <w:sz w:val="18"/>
              </w:rPr>
              <w:t>100% Gemini Flash (frontier)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~₹1,700 – ₹2,000</w:t>
            </w:r>
          </w:p>
        </w:tc>
        <w:tc>
          <w:tcPr>
            <w:tcW w:type="dxa" w:w="2948"/>
            <w:shd w:val="clear" w:color="auto" w:fill="F9F9F9"/>
          </w:tcPr>
          <w:p>
            <w:r>
              <w:rPr>
                <w:color w:val="374151"/>
                <w:sz w:val="18"/>
              </w:rPr>
              <w:t>All evaluations via API. Data is collected and logged for training.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Phase 2</w:t>
              <w:br/>
              <w:t>Training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color w:val="374151"/>
                <w:sz w:val="18"/>
              </w:rPr>
              <w:t>Months 4–8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18"/>
              </w:rPr>
              <w:t>Frontier API + fine-tuning work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~₹1,700 – ₹2,000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color w:val="374151"/>
                <w:sz w:val="18"/>
              </w:rPr>
              <w:t>Internal model fine-tuned in parallel. Hardware upgrade purchased.</w:t>
            </w:r>
          </w:p>
        </w:tc>
      </w:tr>
      <w:tr>
        <w:tc>
          <w:tcPr>
            <w:tcW w:type="dxa" w:w="1247"/>
            <w:shd w:val="clear" w:color="auto" w:fill="F9F9F9"/>
          </w:tcPr>
          <w:p>
            <w:r>
              <w:rPr>
                <w:b/>
                <w:color w:val="374151"/>
                <w:sz w:val="18"/>
              </w:rPr>
              <w:t>Phase 3</w:t>
              <w:br/>
              <w:t>Hybrid</w:t>
            </w:r>
          </w:p>
        </w:tc>
        <w:tc>
          <w:tcPr>
            <w:tcW w:type="dxa" w:w="1247"/>
            <w:shd w:val="clear" w:color="auto" w:fill="F9F9F9"/>
          </w:tcPr>
          <w:p>
            <w:r>
              <w:rPr>
                <w:color w:val="374151"/>
                <w:sz w:val="18"/>
              </w:rPr>
              <w:t>Month 9+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color w:val="374151"/>
                <w:sz w:val="18"/>
              </w:rPr>
              <w:t>85% internal + 15% Gemini Flash fallback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color w:val="374151"/>
                <w:sz w:val="18"/>
              </w:rPr>
              <w:t>~₹2,500 – ₹3,000</w:t>
            </w:r>
          </w:p>
        </w:tc>
        <w:tc>
          <w:tcPr>
            <w:tcW w:type="dxa" w:w="2948"/>
            <w:shd w:val="clear" w:color="auto" w:fill="F9F9F9"/>
          </w:tcPr>
          <w:p>
            <w:r>
              <w:rPr>
                <w:color w:val="374151"/>
                <w:sz w:val="18"/>
              </w:rPr>
              <w:t>Internal model handles most load. API cost drops 85%.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374151"/>
                <w:sz w:val="18"/>
              </w:rPr>
              <w:t>Phase 4</w:t>
              <w:br/>
              <w:t>Full Internal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color w:val="374151"/>
                <w:sz w:val="18"/>
              </w:rPr>
              <w:t>Month 18+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18"/>
              </w:rPr>
              <w:t>95%+ internal LLM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color w:val="374151"/>
                <w:sz w:val="18"/>
              </w:rPr>
              <w:t>~₹2,000 (power only)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color w:val="374151"/>
                <w:sz w:val="18"/>
              </w:rPr>
              <w:t>Near-zero AI cost. Frontier used only for edge cases.</w:t>
            </w:r>
          </w:p>
        </w:tc>
      </w:tr>
    </w:tbl>
    <w:p>
      <w:pPr>
        <w:spacing w:after="160"/>
      </w:pPr>
      <w:r>
        <w:rPr>
          <w:b w:val="0"/>
          <w:i/>
          <w:color w:val="374151"/>
          <w:sz w:val="20"/>
        </w:rPr>
        <w:t>Phase 3 monthly cost includes ~₹2,000 server electricity + ~₹300–500 frontier API fallback calls.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80" w:after="120"/>
      </w:pPr>
      <w:r>
        <w:rPr>
          <w:b/>
          <w:color w:val="16A34A"/>
          <w:sz w:val="28"/>
        </w:rPr>
        <w:t>Immediate Recommendation</w:t>
      </w:r>
    </w:p>
    <w:p>
      <w:pPr>
        <w:spacing w:after="80"/>
      </w:pPr>
      <w:r>
        <w:rPr>
          <w:b/>
          <w:i w:val="0"/>
          <w:color w:val="374151"/>
          <w:sz w:val="24"/>
        </w:rPr>
        <w:t>Start with Phase 1 today. No hardware changes needed.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Integrate Gemini 2.0 Flash API — one-time code change, takes hours not days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Cost is approximately ₹1,700–₹2,000/month for all 40,000 evaluations — less than ₹0.05 per student per assignment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Every evaluation result gets logged — this is your training data for the future internal model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Plan and budget for the hardware upgrade (₹83,000–₹92,000) to be purchased in month 4–6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Begin fine-tuning the internal model once you have 50,000+ logged evaluations</w:t>
      </w:r>
    </w:p>
    <w:p>
      <w:pPr>
        <w:pStyle w:val="ListBullet"/>
        <w:spacing w:after="40" w:before="40"/>
      </w:pPr>
      <w:r>
        <w:rPr>
          <w:color w:val="374151"/>
          <w:sz w:val="22"/>
        </w:rPr>
        <w:t>Switch to hybrid model in month 9 — API costs drop from ₹2,000/month to under ₹500/month</w:t>
      </w:r>
    </w:p>
    <w:p>
      <w:pPr>
        <w:spacing w:before="160"/>
        <w:ind w:left="283"/>
      </w:pPr>
      <w:r>
        <w:rPr>
          <w:b/>
          <w:color w:val="0B1D3A"/>
          <w:sz w:val="22"/>
        </w:rPr>
        <w:t>At 40,000 evaluations/month, the full-frontier cost of ₹2,000/month is already very reasonable — less than ₹24,000/year. The hybrid model makes it even lower. There is no scenario where this AI cost is a significant burden relative to the platform's value.</w:t>
      </w:r>
    </w:p>
    <w:p>
      <w:pPr>
        <w:spacing w:before="80" w:after="80"/>
        <w:pBdr>
          <w:bottom w:val="single" w:sz="6" w:space="1" w:color="C9A227"/>
        </w:pBdr>
      </w:pPr>
    </w:p>
    <w:p>
      <w:pPr>
        <w:spacing w:before="200"/>
        <w:jc w:val="center"/>
      </w:pPr>
      <w:r>
        <w:rPr>
          <w:i/>
          <w:color w:val="6B7280"/>
          <w:sz w:val="18"/>
        </w:rPr>
        <w:t>Prepared for client review — August 2026  |  Revised based on client feedback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