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50"/>
          <w:szCs w:val="50"/>
        </w:rPr>
        <w:t xml:space="preserve">AI Costing &amp; Plan</w:t>
      </w:r>
    </w:p>
    <w:p>
      <w:pPr>
        <w:spacing w:before="120"/>
        <w:jc w:val="center"/>
      </w:pPr>
      <w:r>
        <w:rPr>
          <w:color w:val="2E75B6"/>
          <w:sz w:val="30"/>
          <w:szCs w:val="30"/>
        </w:rPr>
        <w:t xml:space="preserve">Prestige Capability Development Centre (PCDC)</w:t>
      </w:r>
    </w:p>
    <w:p>
      <w:pPr>
        <w:spacing w:before="80"/>
        <w:jc w:val="center"/>
      </w:pPr>
      <w:r>
        <w:rPr>
          <w:color w:val="595959"/>
          <w:sz w:val="24"/>
          <w:szCs w:val="24"/>
        </w:rPr>
        <w:t xml:space="preserve">UAT (free) → Go-Live · with fallbacks &amp; monthly cost</w:t>
      </w:r>
    </w:p>
    <w:p>
      <w:pPr>
        <w:spacing w:before="60"/>
        <w:jc w:val="center"/>
      </w:pPr>
      <w:r>
        <w:rPr>
          <w:i/>
          <w:iCs/>
          <w:color w:val="595959"/>
          <w:sz w:val="19"/>
          <w:szCs w:val="19"/>
        </w:rPr>
        <w:t xml:space="preserve">[verify] = provider price/limit to confirm (they change often)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drives AI cost</w:t>
      </w:r>
    </w:p>
    <w:p>
      <w:pPr>
        <w:spacing w:after="140" w:line="276" w:lineRule="auto"/>
      </w:pPr>
      <w:r>
        <w:t xml:space="preserve">Cost scales per student, per attempt — every student uses the AI, and a launched campaign creates concurrency spikes (a class doing it together). Each attempt = 3 LLM calls: (1) analyse answer → generate 3–4 rapid-fire questions; (2) grade rapid-fire → suggestions; (3) final scoring (6 dimensions → marks /10).</w:t>
      </w:r>
    </w:p>
    <w:p>
      <w:pPr>
        <w:spacing w:after="140" w:line="276" w:lineRule="auto"/>
      </w:pPr>
      <w:r>
        <w:t xml:space="preserve">Tokens per attempt: ~7,000 input + ~1,300 output. The case study + rubric dominate the input and are identical for every student in a campaign — the main saving (via caching).</w:t>
      </w:r>
    </w:p>
    <w:p>
      <w:pPr>
        <w:pStyle w:val="Heading1"/>
      </w:pPr>
      <w:r>
        <w:t xml:space="preserve">2. Free plan for UAT (tokens that don't expire)</w:t>
      </w:r>
    </w:p>
    <w:p>
      <w:pPr>
        <w:spacing w:after="140" w:line="276" w:lineRule="auto"/>
      </w:pPr>
      <w:r>
        <w:t xml:space="preserve">Use perpetually-free tiers (rate-limited but always free) — not promotional trial credits that expire in 30–90 days. Perpetual free tiers reset their limits daily and never expire.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0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7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for UAT</w:t>
            </w:r>
          </w:p>
        </w:tc>
      </w:tr>
      <w:t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Groq (free)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Llama 3.3 70B (mandated model)</w:t>
            </w:r>
          </w:p>
        </w:tc>
        <w:tc>
          <w:tcPr>
            <w:tcW w:type="dxa" w:w="37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6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 AI Studio / Gemini</w:t>
            </w:r>
          </w:p>
        </w:tc>
        <w:tc>
          <w:tcPr>
            <w:tcW w:type="dxa" w:w="30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37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OpenRouter (free models)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Llama &amp; others</w:t>
            </w:r>
          </w:p>
        </w:tc>
        <w:tc>
          <w:tcPr>
            <w:tcW w:type="dxa" w:w="37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Tertiary</w:t>
            </w:r>
          </w:p>
        </w:tc>
      </w:tr>
      <w:tr>
        <w:tc>
          <w:tcPr>
            <w:tcW w:type="dxa" w:w="26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Cerebras (free)</w:t>
            </w:r>
          </w:p>
        </w:tc>
        <w:tc>
          <w:tcPr>
            <w:tcW w:type="dxa" w:w="30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Llama 3.3</w:t>
            </w:r>
          </w:p>
        </w:tc>
        <w:tc>
          <w:tcPr>
            <w:tcW w:type="dxa" w:w="37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Quaternary</w:t>
            </w:r>
          </w:p>
        </w:tc>
      </w:tr>
      <w:t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OpenAI / Anthropic trial credit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Avoid (expires)</w:t>
            </w:r>
          </w:p>
        </w:tc>
      </w:tr>
    </w:tbl>
    <w:p>
      <w:pPr>
        <w:spacing w:after="160"/>
      </w:pPr>
    </w:p>
    <w:p>
      <w:pPr>
        <w:spacing w:after="140" w:line="276" w:lineRule="auto"/>
      </w:pPr>
      <w:r>
        <w:t xml:space="preserve">**Fallback chain so UAT never runs dry:** Groq → (on daily limit) Gemini Flash → OpenRouter → Cerebras → queue + retry (and mentor manual review if all are exhausted). Because each free tier resets daily and the chain rotates across providers, tokens effectively never expire and UAT is never blocked.</w:t>
      </w:r>
    </w:p>
    <w:p>
      <w:pPr>
        <w:spacing w:after="140" w:line="276" w:lineRule="auto"/>
      </w:pPr>
      <w:r>
        <w:t xml:space="preserve">**UAT operating notes:** free tiers can't sustain a full class at once — run UAT in small batches, and rely on the Think-First gate (students type for minutes before the AI engages), which naturally staggers calls under the rate limits.</w:t>
      </w:r>
    </w:p>
    <w:p>
      <w:pPr>
        <w:pStyle w:val="Heading1"/>
      </w:pPr>
      <w:r>
        <w:t xml:space="preserve">3. Go-live: cost-optimal approach for live data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Prompt-cache the campaign's case study + rubric (identical for every student) → read at ~0.1× after the first student → up to 80–90% off input tokens.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Tier models by task: Llama 3.3 70B / Gemini Flash for rapid-fire generation + suggestions; a stronger model (Llama 3.3 405B, Claude Sonnet 4.6, or GPT-4o) for final scoring.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Batch the scoring (not real-time) through a batch lane (~50% cheaper).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Queue + global concurrency cap sized to provider rate limits → no 429 storms when a class hits together.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Fallback chain: paid primary → secondary → mentor manual review, so peaks/outages degrade gracefully and never fail a student.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Cap output tokens + structured JSON output — scoring output is small; no waste, no re-tries.</w:t>
      </w:r>
    </w:p>
    <w:p>
      <w:pPr>
        <w:spacing w:after="140" w:line="276" w:lineRule="auto"/>
      </w:pPr>
      <w:r>
        <w:rPr>
          <w:i/>
          <w:iCs/>
          <w:color w:val="595959"/>
        </w:rPr>
        <w:t xml:space="preserve">Self-hosting Llama 3.3 on a dedicated GPU costs ~$700–1,500/month running 24/7 — only cheaper than API at very high, steady volume. At the volumes below, hosted API is cheaper and simpler.</w:t>
      </w:r>
    </w:p>
    <w:p>
      <w:pPr>
        <w:pStyle w:val="Heading1"/>
      </w:pPr>
      <w:r>
        <w:t xml:space="preserve">4. Average monthly cost (by student volume)</w:t>
      </w:r>
    </w:p>
    <w:p>
      <w:pPr>
        <w:spacing w:after="140" w:line="276" w:lineRule="auto"/>
      </w:pPr>
      <w:r>
        <w:t xml:space="preserve">Assumptions [verify]: ~10 attempts per student per month; ~7k in + 1.3k out per attempt, with caching of the shared case study.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400"/>
        <w:gridCol w:w="4060"/>
        <w:gridCol w:w="2900"/>
      </w:tblGrid>
      <w:tr>
        <w:trPr>
          <w:tblHeader/>
        </w:trPr>
        <w:tc>
          <w:tcPr>
            <w:tcW w:type="dxa" w:w="24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40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29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~Cost / attempt</w:t>
            </w:r>
          </w:p>
        </w:tc>
      </w:tr>
      <w:tr>
        <w:tc>
          <w:tcPr>
            <w:tcW w:type="dxa" w:w="24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Budget</w:t>
            </w:r>
          </w:p>
        </w:tc>
        <w:tc>
          <w:tcPr>
            <w:tcW w:type="dxa" w:w="40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Gemini Flash (all 3 calls)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~$0.0015</w:t>
            </w:r>
          </w:p>
        </w:tc>
      </w:tr>
      <w:tr>
        <w:tc>
          <w:tcPr>
            <w:tcW w:type="dxa" w:w="24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Cost-optimal (recommended)</w:t>
            </w:r>
          </w:p>
        </w:tc>
        <w:tc>
          <w:tcPr>
            <w:tcW w:type="dxa" w:w="40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Llama 3.3 70B (all 3 calls)</w:t>
            </w:r>
          </w:p>
        </w:tc>
        <w:tc>
          <w:tcPr>
            <w:tcW w:type="dxa" w:w="29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~$0.005</w:t>
            </w:r>
          </w:p>
        </w:tc>
      </w:tr>
      <w:tr>
        <w:tc>
          <w:tcPr>
            <w:tcW w:type="dxa" w:w="24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Quality blend</w:t>
            </w:r>
          </w:p>
        </w:tc>
        <w:tc>
          <w:tcPr>
            <w:tcW w:type="dxa" w:w="40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Flash (gen) + Sonnet 4.6 (scoring), cached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~$0.016</w:t>
            </w:r>
          </w:p>
        </w:tc>
      </w:tr>
    </w:tbl>
    <w:p>
      <w:pPr>
        <w:spacing w:after="160"/>
      </w:pPr>
    </w:p>
    <w:p>
      <w:pPr>
        <w:spacing w:after="140" w:line="276" w:lineRule="auto"/>
      </w:pPr>
      <w:r>
        <w:t xml:space="preserve">Monthly cost = active students × 10 attempts × cost/attempt: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Active students / month</w:t>
            </w:r>
          </w:p>
        </w:tc>
        <w:tc>
          <w:tcPr>
            <w:tcW w:type="dxa" w:w="212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212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Cost-optimal</w:t>
            </w:r>
          </w:p>
        </w:tc>
        <w:tc>
          <w:tcPr>
            <w:tcW w:type="dxa" w:w="212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Quality blend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1,000</w:t>
            </w:r>
          </w:p>
        </w:tc>
        <w:tc>
          <w:tcPr>
            <w:tcW w:type="dxa" w:w="212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~$15</w:t>
            </w:r>
          </w:p>
        </w:tc>
        <w:tc>
          <w:tcPr>
            <w:tcW w:type="dxa" w:w="212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~$50</w:t>
            </w:r>
          </w:p>
        </w:tc>
        <w:tc>
          <w:tcPr>
            <w:tcW w:type="dxa" w:w="212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~$160</w:t>
            </w:r>
          </w:p>
        </w:tc>
      </w:tr>
      <w:tr>
        <w:tc>
          <w:tcPr>
            <w:tcW w:type="dxa" w:w="30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2,500</w:t>
            </w:r>
          </w:p>
        </w:tc>
        <w:tc>
          <w:tcPr>
            <w:tcW w:type="dxa" w:w="212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~$38</w:t>
            </w:r>
          </w:p>
        </w:tc>
        <w:tc>
          <w:tcPr>
            <w:tcW w:type="dxa" w:w="212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~$125</w:t>
            </w:r>
          </w:p>
        </w:tc>
        <w:tc>
          <w:tcPr>
            <w:tcW w:type="dxa" w:w="212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~$400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4,000 (full cohort)</w:t>
            </w:r>
          </w:p>
        </w:tc>
        <w:tc>
          <w:tcPr>
            <w:tcW w:type="dxa" w:w="212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~$60</w:t>
            </w:r>
          </w:p>
        </w:tc>
        <w:tc>
          <w:tcPr>
            <w:tcW w:type="dxa" w:w="212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~$200</w:t>
            </w:r>
          </w:p>
        </w:tc>
        <w:tc>
          <w:tcPr>
            <w:tcW w:type="dxa" w:w="212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~$640</w:t>
            </w:r>
          </w:p>
        </w:tc>
      </w:tr>
    </w:tbl>
    <w:p>
      <w:pPr>
        <w:spacing w:after="160"/>
      </w:pPr>
    </w:p>
    <w:p>
      <w:pPr>
        <w:spacing w:after="140" w:line="276" w:lineRule="auto"/>
      </w:pPr>
      <w:r>
        <w:t xml:space="preserve">**Recommended planning figure:** for the full 4,000-student cohort, budget ~$200–$650 / month depending on the scoring-quality tier — with ~$200/month (Llama 3.3 70B + caching + batching) as the cost-optimal target, and ~$640/month for a premium model on the final mark.</w:t>
      </w:r>
    </w:p>
    <w:p>
      <w:pPr>
        <w:pStyle w:val="Heading1"/>
      </w:pPr>
      <w:r>
        <w:t xml:space="preserve">5. Notes &amp; risks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Non-Claude prices/limits [verify] are approximate — confirm on each provider's current pricing page.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Caching savings assume students in a campaign share one case study (true in the current design).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Concurrency, not cost, is the binding constraint during launches — size paid rate limits to peak concurrent students, not the monthly total.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Keep the mentor-review fallback as the final safety net so AI cost/limits never block a student's progress.</w:t>
      </w:r>
    </w:p>
    <w:p>
      <w:pPr>
        <w:pStyle w:val="Heading1"/>
      </w:pPr>
      <w:r>
        <w:t xml:space="preserve">6. Appendix — Scoring questions to confirm with client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Pass mark per level — 75% (= 7.5/10)? Does it differ by difficulty level?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Definition of '% complete' for the Incomplete/Rejected split — questions answered, word count, or rubric criteria met?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The &lt;33% rule — hard-fail-and-lock immediately, or consume one of the 4 attempts?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Across 4 attempts, use best score or latest?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How the 7 Q&amp;A marks map from the 6 AI quality dimensions — equal weight or 30/20/15/15/10/10?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Rapid-fire (3 marks) — how many questions, marks each, partial credit allowed?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How an attempt's mark updates capability scores — running average, latest, or weighted by difficulty?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Does difficulty level weight the contribution (L4 worth more than L1)?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Does time taken affect the score?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Can a mentor override the AI mark, and is the override the final record?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color w:val="595959"/>
        <w:sz w:val="16"/>
        <w:szCs w:val="16"/>
      </w:rPr>
      <w:t xml:space="preserve">PCDC — AI Costing &amp;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Costing &amp; Plan</dc:title>
  <dc:creator>PCDC</dc:creator>
  <cp:lastModifiedBy>Un-named</cp:lastModifiedBy>
  <cp:revision>1</cp:revision>
  <dcterms:created xsi:type="dcterms:W3CDTF">2026-06-22T06:50:57.788Z</dcterms:created>
  <dcterms:modified xsi:type="dcterms:W3CDTF">2026-06-22T06:50:57.789Z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