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5E66" w14:textId="77777777" w:rsidR="006E0C46" w:rsidRDefault="00000000">
      <w:pPr>
        <w:spacing w:after="200"/>
      </w:pPr>
      <w:r>
        <w:rPr>
          <w:b/>
          <w:bCs/>
          <w:sz w:val="28"/>
          <w:szCs w:val="28"/>
        </w:rPr>
        <w:t>Dataset Overview</w:t>
      </w:r>
    </w:p>
    <w:p w14:paraId="4DB840E0" w14:textId="77777777" w:rsidR="006E0C46" w:rsidRDefault="00000000">
      <w:pPr>
        <w:spacing w:after="200"/>
      </w:pPr>
      <w:r>
        <w:rPr>
          <w:b/>
          <w:bCs/>
          <w:sz w:val="24"/>
          <w:szCs w:val="24"/>
        </w:rPr>
        <w:t xml:space="preserve">UK Transport &amp; Smart Mobility Challenge — </w:t>
      </w:r>
      <w:proofErr w:type="spellStart"/>
      <w:r>
        <w:rPr>
          <w:b/>
          <w:bCs/>
          <w:sz w:val="24"/>
          <w:szCs w:val="24"/>
        </w:rPr>
        <w:t>DataBuzz</w:t>
      </w:r>
      <w:proofErr w:type="spellEnd"/>
      <w:r>
        <w:rPr>
          <w:b/>
          <w:bCs/>
          <w:sz w:val="24"/>
          <w:szCs w:val="24"/>
        </w:rPr>
        <w:t xml:space="preserve"> Power BI Challenge</w:t>
      </w:r>
    </w:p>
    <w:p w14:paraId="309DB8B4" w14:textId="42C04AD4" w:rsidR="006E0C46" w:rsidRDefault="00000000">
      <w:pPr>
        <w:spacing w:after="200"/>
      </w:pPr>
      <w:r>
        <w:rPr>
          <w:sz w:val="22"/>
          <w:szCs w:val="22"/>
        </w:rPr>
        <w:t>In this challenge, you will analyse a comprehensive dataset covering the UK's multi</w:t>
      </w:r>
      <w:r w:rsidR="00B246D5">
        <w:rPr>
          <w:sz w:val="22"/>
          <w:szCs w:val="22"/>
        </w:rPr>
        <w:t xml:space="preserve"> </w:t>
      </w:r>
      <w:r>
        <w:rPr>
          <w:sz w:val="22"/>
          <w:szCs w:val="22"/>
        </w:rPr>
        <w:t>modal transport network and electric vehicle charging infrastructure from scheduled service operation and real-time punctuality through to network</w:t>
      </w:r>
      <w:r w:rsidR="00B246D5">
        <w:rPr>
          <w:sz w:val="22"/>
          <w:szCs w:val="22"/>
        </w:rPr>
        <w:t xml:space="preserve"> </w:t>
      </w:r>
      <w:r>
        <w:rPr>
          <w:sz w:val="22"/>
          <w:szCs w:val="22"/>
        </w:rPr>
        <w:t>wide ridership and EV infrastructure equity. The dataset spans a 90-day operational window from 1 April to 29 June 2026 across 4 interconnected tables covering local authority areas, transport routes, individual journeys, and EV charge points, representing the full analytical surface of UK smart mobility across all 4 nations and 9 regions.</w:t>
      </w:r>
    </w:p>
    <w:p w14:paraId="2DC39760" w14:textId="26DDF3F5" w:rsidR="006E0C46" w:rsidRDefault="00000000">
      <w:pPr>
        <w:spacing w:after="200"/>
      </w:pPr>
      <w:r>
        <w:rPr>
          <w:sz w:val="22"/>
          <w:szCs w:val="22"/>
        </w:rPr>
        <w:t>Your goal is to build a Power BI dashboard on UK Transport &amp; Smart Mobility that identifies where and when punctuality breaks down across the network, benchmarks operator and mode performance using peer</w:t>
      </w:r>
      <w:r w:rsidR="00B246D5">
        <w:rPr>
          <w:sz w:val="22"/>
          <w:szCs w:val="22"/>
        </w:rPr>
        <w:t xml:space="preserve"> </w:t>
      </w:r>
      <w:r>
        <w:rPr>
          <w:sz w:val="22"/>
          <w:szCs w:val="22"/>
        </w:rPr>
        <w:t>group reliability ranking, evaluates EV charging infrastructure equity relative to population and existing provision, models weather</w:t>
      </w:r>
      <w:r w:rsidR="00B246D5">
        <w:rPr>
          <w:sz w:val="22"/>
          <w:szCs w:val="22"/>
        </w:rPr>
        <w:t xml:space="preserve"> </w:t>
      </w:r>
      <w:r>
        <w:rPr>
          <w:sz w:val="22"/>
          <w:szCs w:val="22"/>
        </w:rPr>
        <w:t>scenario impact on delay through slicer-driven recalculation, and detects anomalous delay events all underpinned by RANKX peer</w:t>
      </w:r>
      <w:r w:rsidR="00B246D5">
        <w:rPr>
          <w:sz w:val="22"/>
          <w:szCs w:val="22"/>
        </w:rPr>
        <w:t xml:space="preserve"> </w:t>
      </w:r>
      <w:r>
        <w:rPr>
          <w:sz w:val="22"/>
          <w:szCs w:val="22"/>
        </w:rPr>
        <w:t>group ranking, disconnected-slicer scenario modelling, rolling time-intelligence trend analysis</w:t>
      </w:r>
      <w:r w:rsidR="00B246D5">
        <w:rPr>
          <w:sz w:val="22"/>
          <w:szCs w:val="22"/>
        </w:rPr>
        <w:t>.</w:t>
      </w:r>
    </w:p>
    <w:p w14:paraId="43930A60" w14:textId="77777777" w:rsidR="006E0C46" w:rsidRDefault="00000000">
      <w:pPr>
        <w:spacing w:after="200"/>
      </w:pPr>
      <w:r>
        <w:rPr>
          <w:b/>
          <w:bCs/>
          <w:sz w:val="24"/>
          <w:szCs w:val="24"/>
        </w:rPr>
        <w:t>This dataset enables you to analyse:</w:t>
      </w:r>
    </w:p>
    <w:p w14:paraId="7B01F02B" w14:textId="77777777" w:rsidR="006E0C46" w:rsidRDefault="00000000">
      <w:pPr>
        <w:pStyle w:val="ListParagraph"/>
        <w:numPr>
          <w:ilvl w:val="0"/>
          <w:numId w:val="1"/>
        </w:numPr>
        <w:spacing w:after="160"/>
      </w:pPr>
      <w:r>
        <w:rPr>
          <w:b/>
          <w:bCs/>
          <w:sz w:val="22"/>
          <w:szCs w:val="22"/>
        </w:rPr>
        <w:t xml:space="preserve">Scheduled vs actual punctuality analysis </w:t>
      </w:r>
      <w:r>
        <w:rPr>
          <w:sz w:val="22"/>
          <w:szCs w:val="22"/>
        </w:rPr>
        <w:t xml:space="preserve">Every journey </w:t>
      </w:r>
      <w:proofErr w:type="gramStart"/>
      <w:r>
        <w:rPr>
          <w:sz w:val="22"/>
          <w:szCs w:val="22"/>
        </w:rPr>
        <w:t>carries</w:t>
      </w:r>
      <w:proofErr w:type="gramEnd"/>
      <w:r>
        <w:rPr>
          <w:sz w:val="22"/>
          <w:szCs w:val="22"/>
        </w:rPr>
        <w:t xml:space="preserve"> both a scheduled and an actual departure time, exposing minute-level delay by route, mode, and time of day; combined with a Calendar table this reveals rush-hour degradation, weekday/weekend patterns, and the lag between planned and delivered service across all 45 UK areas and 5 transport modes.</w:t>
      </w:r>
    </w:p>
    <w:p w14:paraId="1467A606" w14:textId="02EEE587" w:rsidR="006E0C46" w:rsidRDefault="00000000">
      <w:pPr>
        <w:pStyle w:val="ListParagraph"/>
        <w:numPr>
          <w:ilvl w:val="0"/>
          <w:numId w:val="1"/>
        </w:numPr>
        <w:spacing w:after="160"/>
      </w:pPr>
      <w:r>
        <w:rPr>
          <w:b/>
          <w:bCs/>
          <w:sz w:val="22"/>
          <w:szCs w:val="22"/>
        </w:rPr>
        <w:t xml:space="preserve">Dynamic metric switching via disconnected slicer </w:t>
      </w:r>
      <w:r>
        <w:rPr>
          <w:sz w:val="22"/>
          <w:szCs w:val="22"/>
        </w:rPr>
        <w:t xml:space="preserve">A single DAX measure driven by SELECTEDVALUE on a disconnected </w:t>
      </w:r>
      <w:proofErr w:type="spellStart"/>
      <w:r>
        <w:rPr>
          <w:sz w:val="22"/>
          <w:szCs w:val="22"/>
        </w:rPr>
        <w:t>DIM_MetricSelector</w:t>
      </w:r>
      <w:proofErr w:type="spellEnd"/>
      <w:r>
        <w:rPr>
          <w:sz w:val="22"/>
          <w:szCs w:val="22"/>
        </w:rPr>
        <w:t xml:space="preserve"> table that dynamically returns </w:t>
      </w:r>
      <w:proofErr w:type="spellStart"/>
      <w:r>
        <w:rPr>
          <w:sz w:val="22"/>
          <w:szCs w:val="22"/>
        </w:rPr>
        <w:t>Avg</w:t>
      </w:r>
      <w:proofErr w:type="spellEnd"/>
      <w:r>
        <w:rPr>
          <w:sz w:val="22"/>
          <w:szCs w:val="22"/>
        </w:rPr>
        <w:t xml:space="preserve"> Delay, % On Time, Passenger Volume, Charge Point Density, or Network Health Score depending on which row is selected in the slicer eliminating the need for multiple KPI visuals and enabling a single card to serve planners, operators, and investors alike.</w:t>
      </w:r>
    </w:p>
    <w:p w14:paraId="6758E628" w14:textId="607E4975" w:rsidR="006E0C46" w:rsidRDefault="00000000">
      <w:pPr>
        <w:pStyle w:val="ListParagraph"/>
        <w:numPr>
          <w:ilvl w:val="0"/>
          <w:numId w:val="1"/>
        </w:numPr>
        <w:spacing w:after="160"/>
      </w:pPr>
      <w:r>
        <w:rPr>
          <w:b/>
          <w:bCs/>
          <w:sz w:val="22"/>
          <w:szCs w:val="22"/>
        </w:rPr>
        <w:t>Weather scenario slicer</w:t>
      </w:r>
      <w:r w:rsidR="00B246D5">
        <w:rPr>
          <w:b/>
          <w:bCs/>
          <w:sz w:val="22"/>
          <w:szCs w:val="22"/>
        </w:rPr>
        <w:t xml:space="preserve"> </w:t>
      </w:r>
      <w:r>
        <w:rPr>
          <w:b/>
          <w:bCs/>
          <w:sz w:val="22"/>
          <w:szCs w:val="22"/>
        </w:rPr>
        <w:t xml:space="preserve">driven recalculation </w:t>
      </w:r>
      <w:r>
        <w:rPr>
          <w:sz w:val="22"/>
          <w:szCs w:val="22"/>
        </w:rPr>
        <w:t xml:space="preserve">Expected delay and network reliability measures that dynamically recalculate based on the weather scenario selected from a disconnected </w:t>
      </w:r>
      <w:proofErr w:type="spellStart"/>
      <w:r>
        <w:rPr>
          <w:sz w:val="22"/>
          <w:szCs w:val="22"/>
        </w:rPr>
        <w:t>DIM_WeatherScenario</w:t>
      </w:r>
      <w:proofErr w:type="spellEnd"/>
      <w:r>
        <w:rPr>
          <w:sz w:val="22"/>
          <w:szCs w:val="22"/>
        </w:rPr>
        <w:t xml:space="preserve"> slicer, covering Clear, Rain, Fog, Windy, and Snow conditions, enabling planners to instantly model the operational impact of adverse weather on any route, mode, or region.</w:t>
      </w:r>
    </w:p>
    <w:p w14:paraId="58826C4A" w14:textId="77777777" w:rsidR="006E0C46" w:rsidRDefault="00000000">
      <w:pPr>
        <w:pStyle w:val="ListParagraph"/>
        <w:numPr>
          <w:ilvl w:val="0"/>
          <w:numId w:val="1"/>
        </w:numPr>
        <w:spacing w:after="160"/>
      </w:pPr>
      <w:r>
        <w:rPr>
          <w:b/>
          <w:bCs/>
          <w:sz w:val="22"/>
          <w:szCs w:val="22"/>
        </w:rPr>
        <w:t xml:space="preserve">EV charging equity scoring </w:t>
      </w:r>
      <w:r>
        <w:rPr>
          <w:sz w:val="22"/>
          <w:szCs w:val="22"/>
        </w:rPr>
        <w:t>Charge points per 100,000 population calculated per area, banded into Well Served, Adequate, Under-Served, and Charging Desert tiers — computed dynamically in DAX from population and connector counts, producing a per-area equity score across any region or nation.</w:t>
      </w:r>
    </w:p>
    <w:p w14:paraId="1E8131F8" w14:textId="77777777" w:rsidR="006E0C46" w:rsidRDefault="00000000">
      <w:pPr>
        <w:pStyle w:val="ListParagraph"/>
        <w:numPr>
          <w:ilvl w:val="0"/>
          <w:numId w:val="1"/>
        </w:numPr>
        <w:spacing w:after="160"/>
      </w:pPr>
      <w:r>
        <w:rPr>
          <w:b/>
          <w:bCs/>
          <w:sz w:val="22"/>
          <w:szCs w:val="22"/>
        </w:rPr>
        <w:t xml:space="preserve">Operator and route performance ranking </w:t>
      </w:r>
      <w:r>
        <w:rPr>
          <w:sz w:val="22"/>
          <w:szCs w:val="22"/>
        </w:rPr>
        <w:t xml:space="preserve">Punctuality ranking per operator calculated from </w:t>
      </w:r>
      <w:proofErr w:type="spellStart"/>
      <w:r>
        <w:rPr>
          <w:sz w:val="22"/>
          <w:szCs w:val="22"/>
        </w:rPr>
        <w:t>fact_journeys</w:t>
      </w:r>
      <w:proofErr w:type="spellEnd"/>
      <w:r>
        <w:rPr>
          <w:sz w:val="22"/>
          <w:szCs w:val="22"/>
        </w:rPr>
        <w:t>, ranked using RANKX with ALLSELECTED so rankings dynamically update when nation, region, or mode slicers are applied, combined with percentile banding (Top Quartile Reliable, Above Average, Below Average, Bottom Quartile) to surface high and low performers relative to the currently visible peer group.</w:t>
      </w:r>
    </w:p>
    <w:p w14:paraId="5D66BDD3" w14:textId="77777777" w:rsidR="006E0C46" w:rsidRDefault="00000000">
      <w:pPr>
        <w:pStyle w:val="ListParagraph"/>
        <w:numPr>
          <w:ilvl w:val="0"/>
          <w:numId w:val="1"/>
        </w:numPr>
        <w:spacing w:after="160"/>
      </w:pPr>
      <w:r>
        <w:rPr>
          <w:b/>
          <w:bCs/>
          <w:sz w:val="22"/>
          <w:szCs w:val="22"/>
        </w:rPr>
        <w:t xml:space="preserve">Ridership load and capacity viability </w:t>
      </w:r>
      <w:r>
        <w:rPr>
          <w:sz w:val="22"/>
          <w:szCs w:val="22"/>
        </w:rPr>
        <w:t>Average passengers boarded per journey compared against an assumed per-mode capacity, producing a Load Factor measure with banding (Overcrowded, Optimal, Underutilised) to score service viability by mode, operator, and area — the transport equivalent of investment viability screening.</w:t>
      </w:r>
    </w:p>
    <w:p w14:paraId="498D3379" w14:textId="77777777" w:rsidR="006E0C46" w:rsidRDefault="00000000">
      <w:pPr>
        <w:pStyle w:val="ListParagraph"/>
        <w:numPr>
          <w:ilvl w:val="0"/>
          <w:numId w:val="1"/>
        </w:numPr>
        <w:spacing w:after="160"/>
      </w:pPr>
      <w:r>
        <w:rPr>
          <w:b/>
          <w:bCs/>
          <w:sz w:val="22"/>
          <w:szCs w:val="22"/>
        </w:rPr>
        <w:t xml:space="preserve">Rolling delay trend and momentum </w:t>
      </w:r>
      <w:r>
        <w:rPr>
          <w:sz w:val="22"/>
          <w:szCs w:val="22"/>
        </w:rPr>
        <w:t xml:space="preserve">Rolling 7-day average delay anchored on </w:t>
      </w:r>
      <w:proofErr w:type="gramStart"/>
      <w:r>
        <w:rPr>
          <w:sz w:val="22"/>
          <w:szCs w:val="22"/>
        </w:rPr>
        <w:t>MAX(</w:t>
      </w:r>
      <w:proofErr w:type="spellStart"/>
      <w:proofErr w:type="gramEnd"/>
      <w:r>
        <w:rPr>
          <w:sz w:val="22"/>
          <w:szCs w:val="22"/>
        </w:rPr>
        <w:t>fact_journeys</w:t>
      </w:r>
      <w:proofErr w:type="spellEnd"/>
      <w:r>
        <w:rPr>
          <w:sz w:val="22"/>
          <w:szCs w:val="22"/>
        </w:rPr>
        <w:t>[</w:t>
      </w:r>
      <w:proofErr w:type="spellStart"/>
      <w:r>
        <w:rPr>
          <w:sz w:val="22"/>
          <w:szCs w:val="22"/>
        </w:rPr>
        <w:t>journey_date</w:t>
      </w:r>
      <w:proofErr w:type="spellEnd"/>
      <w:r>
        <w:rPr>
          <w:sz w:val="22"/>
          <w:szCs w:val="22"/>
        </w:rPr>
        <w:t xml:space="preserve">]) compared to the prior 7-day window via DATEADD, </w:t>
      </w:r>
      <w:r>
        <w:rPr>
          <w:sz w:val="22"/>
          <w:szCs w:val="22"/>
        </w:rPr>
        <w:lastRenderedPageBreak/>
        <w:t>producing a Delay Momentum % measure that smooths daily volatility and reveals genuine network degradation or recovery across the full observation window.</w:t>
      </w:r>
    </w:p>
    <w:p w14:paraId="48FC9168" w14:textId="3ED5EC7E" w:rsidR="006E0C46" w:rsidRDefault="00000000">
      <w:pPr>
        <w:pStyle w:val="ListParagraph"/>
        <w:numPr>
          <w:ilvl w:val="0"/>
          <w:numId w:val="1"/>
        </w:numPr>
        <w:spacing w:after="160"/>
      </w:pPr>
      <w:r>
        <w:rPr>
          <w:b/>
          <w:bCs/>
          <w:sz w:val="22"/>
          <w:szCs w:val="22"/>
        </w:rPr>
        <w:t xml:space="preserve">Delay anomaly and outlier detection </w:t>
      </w:r>
      <w:r>
        <w:rPr>
          <w:sz w:val="22"/>
          <w:szCs w:val="22"/>
        </w:rPr>
        <w:t>Regional Z-score calculated using STDEVX.P and ALLEXCEPT</w:t>
      </w:r>
      <w:r w:rsidR="00B246D5">
        <w:rPr>
          <w:sz w:val="22"/>
          <w:szCs w:val="22"/>
        </w:rPr>
        <w:t xml:space="preserve"> </w:t>
      </w:r>
      <w:r>
        <w:rPr>
          <w:sz w:val="22"/>
          <w:szCs w:val="22"/>
        </w:rPr>
        <w:t>(</w:t>
      </w:r>
      <w:proofErr w:type="spellStart"/>
      <w:r>
        <w:rPr>
          <w:sz w:val="22"/>
          <w:szCs w:val="22"/>
        </w:rPr>
        <w:t>fact_journeys</w:t>
      </w:r>
      <w:proofErr w:type="spellEnd"/>
      <w:r>
        <w:rPr>
          <w:sz w:val="22"/>
          <w:szCs w:val="22"/>
        </w:rPr>
        <w:t xml:space="preserve">, </w:t>
      </w:r>
      <w:proofErr w:type="spellStart"/>
      <w:r>
        <w:rPr>
          <w:sz w:val="22"/>
          <w:szCs w:val="22"/>
        </w:rPr>
        <w:t>dim_areas</w:t>
      </w:r>
      <w:proofErr w:type="spellEnd"/>
      <w:r>
        <w:rPr>
          <w:sz w:val="22"/>
          <w:szCs w:val="22"/>
        </w:rPr>
        <w:t>[region]) to compute population standard deviation and mean delay per region, then scoring each journey flagging High Outlier (Z &gt; 2.5), Low Outlier (Z &lt; -2.5), Watch (|Z| &gt; 1.5), or Normal supporting incident detection and identification of unusual service disruption within each regional market.</w:t>
      </w:r>
    </w:p>
    <w:p w14:paraId="1C632491" w14:textId="2D82203E" w:rsidR="006E0C46" w:rsidRDefault="00000000">
      <w:pPr>
        <w:pStyle w:val="ListParagraph"/>
        <w:numPr>
          <w:ilvl w:val="0"/>
          <w:numId w:val="1"/>
        </w:numPr>
        <w:spacing w:after="160"/>
      </w:pPr>
      <w:r>
        <w:rPr>
          <w:b/>
          <w:bCs/>
          <w:sz w:val="22"/>
          <w:szCs w:val="22"/>
        </w:rPr>
        <w:t xml:space="preserve">Network health composite scoring </w:t>
      </w:r>
      <w:r>
        <w:rPr>
          <w:sz w:val="22"/>
          <w:szCs w:val="22"/>
        </w:rPr>
        <w:t>A 0–100 composite index combining four normalised signals Punctuality (35% weight), EV Coverage (25% weight), Load Factor balance (20% weight), and Weather Resilience (20% weight) each clamped between 0 and 1 before weighting, producing a Network Health Score with RAG output (Thriving above 70, Stable between 40 and 70, At Risk below 40) for conditional formatting across map and matrix visuals.</w:t>
      </w:r>
    </w:p>
    <w:p w14:paraId="227E83BA" w14:textId="77777777" w:rsidR="006E0C46" w:rsidRDefault="00000000">
      <w:pPr>
        <w:spacing w:after="200"/>
      </w:pPr>
      <w:r>
        <w:rPr>
          <w:b/>
          <w:bCs/>
          <w:sz w:val="24"/>
          <w:szCs w:val="24"/>
        </w:rPr>
        <w:t>Business Value &amp; Insights</w:t>
      </w:r>
    </w:p>
    <w:p w14:paraId="6A90411F" w14:textId="642FC4A9" w:rsidR="006E0C46" w:rsidRDefault="00000000">
      <w:pPr>
        <w:spacing w:after="200"/>
      </w:pPr>
      <w:r>
        <w:rPr>
          <w:sz w:val="22"/>
          <w:szCs w:val="22"/>
        </w:rPr>
        <w:t>Your analysis should help Transport Planners, Local Authorities, EV Infrastructure Investors, Bus/Rail/Tram/Tube/Metro Operators, and Commuters understand where reliability is breaking down across the UK network, which operators and modes are performing above their peer group, how adverse weather materially affects service delivery, and whether EV charging provision is keeping pace with population and demand in each nation and region. The insights support improved timetabling, infrastructure investment prioritisation, operator management, and passenger communication ultimately enabling a data-driven UK smart mobility practice built on a production-grade Power BI data model.</w:t>
      </w:r>
    </w:p>
    <w:p w14:paraId="3B1F3833" w14:textId="77777777" w:rsidR="006E0C46" w:rsidRDefault="00000000">
      <w:pPr>
        <w:spacing w:after="200"/>
      </w:pPr>
      <w:r>
        <w:rPr>
          <w:b/>
          <w:bCs/>
          <w:sz w:val="24"/>
          <w:szCs w:val="24"/>
        </w:rPr>
        <w:t>Specifically, this dataset enables insights into:</w:t>
      </w:r>
    </w:p>
    <w:p w14:paraId="37BBD29F" w14:textId="1CF9F675" w:rsidR="006E0C46" w:rsidRDefault="00000000">
      <w:pPr>
        <w:pStyle w:val="ListParagraph"/>
        <w:numPr>
          <w:ilvl w:val="0"/>
          <w:numId w:val="1"/>
        </w:numPr>
        <w:spacing w:after="160"/>
      </w:pPr>
      <w:r>
        <w:rPr>
          <w:b/>
          <w:bCs/>
          <w:sz w:val="22"/>
          <w:szCs w:val="22"/>
        </w:rPr>
        <w:t xml:space="preserve">Punctuality hotspot identification </w:t>
      </w:r>
      <w:r>
        <w:rPr>
          <w:sz w:val="22"/>
          <w:szCs w:val="22"/>
        </w:rPr>
        <w:t xml:space="preserve">Where the greatest volume of delay minutes accumulates by mode, weather condition, time of day, or area identifying the single biggest reliability improvement opportunity across the </w:t>
      </w:r>
      <w:proofErr w:type="spellStart"/>
      <w:r>
        <w:rPr>
          <w:sz w:val="22"/>
          <w:szCs w:val="22"/>
        </w:rPr>
        <w:t>fact_journeys</w:t>
      </w:r>
      <w:proofErr w:type="spellEnd"/>
      <w:r>
        <w:rPr>
          <w:sz w:val="22"/>
          <w:szCs w:val="22"/>
        </w:rPr>
        <w:t xml:space="preserve"> pipeline.</w:t>
      </w:r>
    </w:p>
    <w:p w14:paraId="3B8BEC4A" w14:textId="77777777" w:rsidR="006E0C46" w:rsidRDefault="00000000">
      <w:pPr>
        <w:pStyle w:val="ListParagraph"/>
        <w:numPr>
          <w:ilvl w:val="0"/>
          <w:numId w:val="1"/>
        </w:numPr>
        <w:spacing w:after="160"/>
      </w:pPr>
      <w:r>
        <w:rPr>
          <w:b/>
          <w:bCs/>
          <w:sz w:val="22"/>
          <w:szCs w:val="22"/>
        </w:rPr>
        <w:t xml:space="preserve">Regional network intelligence </w:t>
      </w:r>
      <w:r>
        <w:rPr>
          <w:sz w:val="22"/>
          <w:szCs w:val="22"/>
        </w:rPr>
        <w:t>Which UK nations and regions over- or under-index for delay, ridership, and EV coverage relative to national benchmarks, using real area and region combinations across all 4 nations and 9 regions with area-level granularity.</w:t>
      </w:r>
    </w:p>
    <w:p w14:paraId="01F49426" w14:textId="77777777" w:rsidR="006E0C46" w:rsidRDefault="00000000">
      <w:pPr>
        <w:pStyle w:val="ListParagraph"/>
        <w:numPr>
          <w:ilvl w:val="0"/>
          <w:numId w:val="1"/>
        </w:numPr>
        <w:spacing w:after="160"/>
      </w:pPr>
      <w:r>
        <w:rPr>
          <w:b/>
          <w:bCs/>
          <w:sz w:val="22"/>
          <w:szCs w:val="22"/>
        </w:rPr>
        <w:t xml:space="preserve">Weather sensitivity and service risk </w:t>
      </w:r>
      <w:proofErr w:type="gramStart"/>
      <w:r>
        <w:rPr>
          <w:sz w:val="22"/>
          <w:szCs w:val="22"/>
        </w:rPr>
        <w:t>At</w:t>
      </w:r>
      <w:proofErr w:type="gramEnd"/>
      <w:r>
        <w:rPr>
          <w:sz w:val="22"/>
          <w:szCs w:val="22"/>
        </w:rPr>
        <w:t xml:space="preserve"> which weather scenario the average journey in each region breaches a critical delay threshold, surfaced via the </w:t>
      </w:r>
      <w:proofErr w:type="spellStart"/>
      <w:r>
        <w:rPr>
          <w:sz w:val="22"/>
          <w:szCs w:val="22"/>
        </w:rPr>
        <w:t>WeatherScenario</w:t>
      </w:r>
      <w:proofErr w:type="spellEnd"/>
      <w:r>
        <w:rPr>
          <w:sz w:val="22"/>
          <w:szCs w:val="22"/>
        </w:rPr>
        <w:t xml:space="preserve"> disconnected slicer so planners can stress-test contingency plans in real time without switching report pages.</w:t>
      </w:r>
    </w:p>
    <w:p w14:paraId="1EE4314D" w14:textId="485CB202" w:rsidR="006E0C46" w:rsidRDefault="00000000">
      <w:pPr>
        <w:pStyle w:val="ListParagraph"/>
        <w:numPr>
          <w:ilvl w:val="0"/>
          <w:numId w:val="1"/>
        </w:numPr>
        <w:spacing w:after="160"/>
      </w:pPr>
      <w:r>
        <w:rPr>
          <w:b/>
          <w:bCs/>
          <w:sz w:val="22"/>
          <w:szCs w:val="22"/>
        </w:rPr>
        <w:t xml:space="preserve">EV infrastructure investment screening </w:t>
      </w:r>
      <w:r>
        <w:rPr>
          <w:sz w:val="22"/>
          <w:szCs w:val="22"/>
        </w:rPr>
        <w:t>Which areas fall into the Under-Served or Charging Desert bands, which nations are furthest behind on per-capita coverage, and which charge-point statuses (Out of Service) are concentrated in specific operators or regions giving investors a reproducible screening matrix directly inside Power BI.</w:t>
      </w:r>
    </w:p>
    <w:p w14:paraId="334412FE" w14:textId="77777777" w:rsidR="006E0C46" w:rsidRDefault="00000000">
      <w:pPr>
        <w:pStyle w:val="ListParagraph"/>
        <w:numPr>
          <w:ilvl w:val="0"/>
          <w:numId w:val="1"/>
        </w:numPr>
        <w:spacing w:after="160"/>
      </w:pPr>
      <w:r>
        <w:rPr>
          <w:b/>
          <w:bCs/>
          <w:sz w:val="22"/>
          <w:szCs w:val="22"/>
        </w:rPr>
        <w:t xml:space="preserve">Operator and mode benchmarking </w:t>
      </w:r>
      <w:r>
        <w:rPr>
          <w:sz w:val="22"/>
          <w:szCs w:val="22"/>
        </w:rPr>
        <w:t>Which operators produce the highest average punctuality when filtered to their own mode and region peer group using ALLSELECTED, and whether route length or time of day correlates with reliability performance.</w:t>
      </w:r>
    </w:p>
    <w:p w14:paraId="559977B5" w14:textId="77777777" w:rsidR="006E0C46" w:rsidRDefault="00000000">
      <w:pPr>
        <w:pStyle w:val="ListParagraph"/>
        <w:numPr>
          <w:ilvl w:val="0"/>
          <w:numId w:val="1"/>
        </w:numPr>
        <w:spacing w:after="160"/>
      </w:pPr>
      <w:r>
        <w:rPr>
          <w:b/>
          <w:bCs/>
          <w:sz w:val="22"/>
          <w:szCs w:val="22"/>
        </w:rPr>
        <w:t xml:space="preserve">Network health and anomaly signals </w:t>
      </w:r>
      <w:r>
        <w:rPr>
          <w:sz w:val="22"/>
          <w:szCs w:val="22"/>
        </w:rPr>
        <w:t xml:space="preserve">Delay frequency and severity by region and mode signalling degrading service, Z-score outlier flagging identifying statistically unusual journeys that may warrant investigation, and Network Health Score trends over the 90-day observation period revealing which regions transitioned between Stable and </w:t>
      </w:r>
      <w:proofErr w:type="gramStart"/>
      <w:r>
        <w:rPr>
          <w:sz w:val="22"/>
          <w:szCs w:val="22"/>
        </w:rPr>
        <w:t>At Risk</w:t>
      </w:r>
      <w:proofErr w:type="gramEnd"/>
      <w:r>
        <w:rPr>
          <w:sz w:val="22"/>
          <w:szCs w:val="22"/>
        </w:rPr>
        <w:t xml:space="preserve"> conditions.</w:t>
      </w:r>
    </w:p>
    <w:p w14:paraId="7B9247FF" w14:textId="77777777" w:rsidR="006E0C46" w:rsidRDefault="00000000">
      <w:pPr>
        <w:pStyle w:val="ListParagraph"/>
        <w:numPr>
          <w:ilvl w:val="0"/>
          <w:numId w:val="1"/>
        </w:numPr>
        <w:spacing w:after="160"/>
      </w:pPr>
      <w:r>
        <w:rPr>
          <w:b/>
          <w:bCs/>
          <w:sz w:val="22"/>
          <w:szCs w:val="22"/>
        </w:rPr>
        <w:t xml:space="preserve">Ridership and capacity planning </w:t>
      </w:r>
      <w:r>
        <w:rPr>
          <w:sz w:val="22"/>
          <w:szCs w:val="22"/>
        </w:rPr>
        <w:t>Passenger load by mode and time of day, quantifying where services are overcrowded or underutilised, and identifying which route and mode combinations would benefit from frequency changes.</w:t>
      </w:r>
    </w:p>
    <w:sectPr w:rsidR="006E0C46" w:rsidSect="00B246D5">
      <w:pgSz w:w="12240" w:h="15840"/>
      <w:pgMar w:top="993"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94771"/>
    <w:multiLevelType w:val="hybridMultilevel"/>
    <w:tmpl w:val="7444EFD0"/>
    <w:lvl w:ilvl="0" w:tplc="BC664AF6">
      <w:start w:val="1"/>
      <w:numFmt w:val="bullet"/>
      <w:lvlText w:val="●"/>
      <w:lvlJc w:val="left"/>
      <w:pPr>
        <w:ind w:left="720" w:hanging="360"/>
      </w:pPr>
    </w:lvl>
    <w:lvl w:ilvl="1" w:tplc="15C0B61C">
      <w:start w:val="1"/>
      <w:numFmt w:val="bullet"/>
      <w:lvlText w:val="○"/>
      <w:lvlJc w:val="left"/>
      <w:pPr>
        <w:ind w:left="1440" w:hanging="360"/>
      </w:pPr>
    </w:lvl>
    <w:lvl w:ilvl="2" w:tplc="C802B066">
      <w:start w:val="1"/>
      <w:numFmt w:val="bullet"/>
      <w:lvlText w:val="■"/>
      <w:lvlJc w:val="left"/>
      <w:pPr>
        <w:ind w:left="2160" w:hanging="360"/>
      </w:pPr>
    </w:lvl>
    <w:lvl w:ilvl="3" w:tplc="DF0A18F0">
      <w:start w:val="1"/>
      <w:numFmt w:val="bullet"/>
      <w:lvlText w:val="●"/>
      <w:lvlJc w:val="left"/>
      <w:pPr>
        <w:ind w:left="2880" w:hanging="360"/>
      </w:pPr>
    </w:lvl>
    <w:lvl w:ilvl="4" w:tplc="12EA187C">
      <w:start w:val="1"/>
      <w:numFmt w:val="bullet"/>
      <w:lvlText w:val="○"/>
      <w:lvlJc w:val="left"/>
      <w:pPr>
        <w:ind w:left="3600" w:hanging="360"/>
      </w:pPr>
    </w:lvl>
    <w:lvl w:ilvl="5" w:tplc="CB9A88C0">
      <w:start w:val="1"/>
      <w:numFmt w:val="bullet"/>
      <w:lvlText w:val="■"/>
      <w:lvlJc w:val="left"/>
      <w:pPr>
        <w:ind w:left="4320" w:hanging="360"/>
      </w:pPr>
    </w:lvl>
    <w:lvl w:ilvl="6" w:tplc="CC2418CA">
      <w:start w:val="1"/>
      <w:numFmt w:val="bullet"/>
      <w:lvlText w:val="●"/>
      <w:lvlJc w:val="left"/>
      <w:pPr>
        <w:ind w:left="5040" w:hanging="360"/>
      </w:pPr>
    </w:lvl>
    <w:lvl w:ilvl="7" w:tplc="4EC20172">
      <w:start w:val="1"/>
      <w:numFmt w:val="bullet"/>
      <w:lvlText w:val="●"/>
      <w:lvlJc w:val="left"/>
      <w:pPr>
        <w:ind w:left="5760" w:hanging="360"/>
      </w:pPr>
    </w:lvl>
    <w:lvl w:ilvl="8" w:tplc="F08E05A4">
      <w:start w:val="1"/>
      <w:numFmt w:val="bullet"/>
      <w:lvlText w:val="●"/>
      <w:lvlJc w:val="left"/>
      <w:pPr>
        <w:ind w:left="6480" w:hanging="360"/>
      </w:pPr>
    </w:lvl>
  </w:abstractNum>
  <w:num w:numId="1" w16cid:durableId="1500999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C46"/>
    <w:rsid w:val="00634E0A"/>
    <w:rsid w:val="006E0C46"/>
    <w:rsid w:val="007A769C"/>
    <w:rsid w:val="00B24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7102"/>
  <w15:docId w15:val="{8745F64E-C28B-46D3-90BA-CE4BF1E7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nagaraju danthe</cp:lastModifiedBy>
  <cp:revision>2</cp:revision>
  <dcterms:created xsi:type="dcterms:W3CDTF">2026-07-22T12:09:00Z</dcterms:created>
  <dcterms:modified xsi:type="dcterms:W3CDTF">2026-07-22T12:09:00Z</dcterms:modified>
</cp:coreProperties>
</file>