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jc w:val="center"/>
      </w:pPr>
      <w:r>
        <w:rPr>
          <w:rFonts w:ascii="Times New Roman" w:hAnsi="Times New Roman"/>
          <w:b/>
          <w:i w:val="0"/>
          <w:color w:val="000000"/>
          <w:sz w:val="44"/>
        </w:rPr>
        <w:t>An Explainable and Resource-Efficient Hybrid BERT-BiLSTM</w:t>
        <w:br/>
        <w:t>Framework for Online Recruitment Fraud Detection</w:t>
      </w:r>
    </w:p>
    <w:p>
      <w:pPr>
        <w:spacing w:after="240"/>
        <w:jc w:val="center"/>
      </w:pPr>
      <w:r>
        <w:rPr>
          <w:rFonts w:ascii="Times New Roman" w:hAnsi="Times New Roman"/>
          <w:b w:val="0"/>
          <w:i w:val="0"/>
          <w:color w:val="000000"/>
          <w:sz w:val="21"/>
        </w:rPr>
        <w:t>Akhilesh</w:t>
        <w:br/>
        <w:t>Department of Computer Science and Engineering</w:t>
        <w:br/>
        <w:t>M.Sc. (Data Science)</w:t>
        <w:br/>
        <w:t>India</w:t>
        <w:br/>
        <w:t>email@example.com</w:t>
      </w:r>
    </w:p>
    <w:p>
      <w:pPr>
        <w:sectPr>
          <w:pgSz w:w="12240" w:h="15840"/>
          <w:pgMar w:top="1080" w:right="900" w:bottom="1224" w:left="900" w:header="720" w:footer="720" w:gutter="0"/>
          <w:cols w:space="720"/>
          <w:docGrid w:linePitch="360"/>
        </w:sectPr>
      </w:pPr>
    </w:p>
    <w:p>
      <w:pPr>
        <w:spacing w:after="80" w:line="240" w:lineRule="auto"/>
        <w:ind w:firstLine="216"/>
        <w:jc w:val="both"/>
      </w:pPr>
      <w:r>
        <w:rPr>
          <w:rFonts w:ascii="Times New Roman" w:hAnsi="Times New Roman"/>
          <w:b/>
          <w:i/>
          <w:color w:val="000000"/>
          <w:sz w:val="18"/>
        </w:rPr>
        <w:t>Abstract---</w:t>
      </w:r>
      <w:r>
        <w:rPr>
          <w:rFonts w:ascii="Times New Roman" w:hAnsi="Times New Roman"/>
          <w:b/>
          <w:i w:val="0"/>
          <w:color w:val="000000"/>
          <w:sz w:val="18"/>
        </w:rPr>
        <w:t>The digitization of the employment market has revolutionized the hiring process, offering unprecedented convenience to both recruiters and job seekers. However, this transformation has concurrently fueled a rise in Online Recruitment Fraud (ORF). Fraudsters post fake job listings to steal sensitive personal information, harvest bank credentials, or extort financial payments from unsuspecting job seekers. Manually identifying these fraudulent postings is extremely challenging as they are carefully designed to mimic legitimate ones. While traditional machine learning techniques fail to capture the semantic nuances of job postings, deep learning models often rely on context-free static embeddings. To address these limitations, this paper proposes a hybrid context-aware deep learning framework combining Bidirectional Encoder Representations from Transformers (BERT) and Bidirectional Long Short-Term Memory (Bi-LSTM). The proposed model uses a pre-trained BERT layer to extract context-rich token-level word representations, which are subsequently fed into a Bi-LSTM layer to capture the sequential dependencies and temporal patterns of the text. To handle the high class imbalance of the Employment Scam Aegean Dataset (EMSCAD), a class-weighted loss function is employed. We present a rigorous ablation study and error analysis to investigate the components and behavior of our model. Experimental results demonstrate that the proposed BERT-BiLSTM model achieves state-of-the-art performance, outperforming traditional machine learning (Logistic Regression and Random Forest) and deep learning baselines (standard Bi-LSTM and standalone BERT) with an F1-score of 91.95%, a high ROC-AUC of 99.25%, and robust classification accuracy of 99.10%.</w:t>
      </w:r>
    </w:p>
    <w:p>
      <w:pPr>
        <w:spacing w:after="160" w:line="240" w:lineRule="auto"/>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Natural Language Processing, Deep Learning, Explainable AI, Ablation Study.</w:t>
      </w:r>
    </w:p>
    <w:p>
      <w:pPr>
        <w:keepNext/>
        <w:spacing w:before="200" w:after="80"/>
        <w:jc w:val="center"/>
      </w:pPr>
      <w:r>
        <w:rPr>
          <w:rFonts w:ascii="Times New Roman" w:hAnsi="Times New Roman"/>
          <w:b/>
          <w:i w:val="0"/>
          <w:color w:val="000000"/>
          <w:sz w:val="20"/>
        </w:rPr>
        <w:t>I.  INTRODUCTION</w:t>
      </w:r>
    </w:p>
    <w:p>
      <w:pPr>
        <w:spacing w:line="240" w:lineRule="auto" w:after="60"/>
        <w:ind w:firstLine="216"/>
        <w:jc w:val="both"/>
      </w:pPr>
      <w:r>
        <w:rPr>
          <w:rFonts w:ascii="Times New Roman" w:hAnsi="Times New Roman"/>
          <w:b w:val="0"/>
          <w:i w:val="0"/>
          <w:color w:val="000000"/>
          <w:sz w:val="20"/>
        </w:rPr>
        <w:t xml:space="preserve">Online recruitment has become the standard mechanism for job seeking and hiring globally, utilizing platforms like LinkedIn, Glassdoor, and Indeed. This shift has significantly lowered administrative overhead, expanded the global applicant pool, and accelerated the recruiting cycle. However, this open digital ecosystem has also emerged as a fertile ground for cybercriminals engaged in Online Recruitment Fraud (ORF) </w:t>
      </w:r>
      <w:hyperlink w:anchor="ref1">
        <w:r>
          <w:rPr>
            <w:color w:val="0563C1"/>
            <w:u w:val="single"/>
            <w:rFonts w:ascii="Times New Roman" w:hAnsi="Times New Roman"/>
            <w:sz w:val="20"/>
          </w:rPr>
          <w:t>[1]</w:t>
        </w:r>
      </w:hyperlink>
      <w:r>
        <w:rPr>
          <w:rFonts w:ascii="Times New Roman" w:hAnsi="Times New Roman"/>
          <w:b w:val="0"/>
          <w:i w:val="0"/>
          <w:color w:val="000000"/>
          <w:sz w:val="20"/>
        </w:rPr>
        <w:t xml:space="preserve">, </w:t>
      </w:r>
      <w:hyperlink w:anchor="ref2">
        <w:r>
          <w:rPr>
            <w:color w:val="0563C1"/>
            <w:u w:val="single"/>
            <w:rFonts w:ascii="Times New Roman" w:hAnsi="Times New Roman"/>
            <w:sz w:val="20"/>
          </w:rPr>
          <w:t>[2]</w:t>
        </w:r>
      </w:hyperlink>
      <w:r>
        <w:rPr>
          <w:rFonts w:ascii="Times New Roman" w:hAnsi="Times New Roman"/>
          <w:b w:val="0"/>
          <w:i w:val="0"/>
          <w:color w:val="000000"/>
          <w:sz w:val="20"/>
        </w:rPr>
        <w:t>.</w:t>
      </w:r>
    </w:p>
    <w:p>
      <w:pPr>
        <w:spacing w:line="240" w:lineRule="auto" w:after="60"/>
        <w:ind w:firstLine="216"/>
        <w:jc w:val="both"/>
      </w:pPr>
      <w:r>
        <w:rPr>
          <w:rFonts w:ascii="Times New Roman" w:hAnsi="Times New Roman"/>
          <w:b w:val="0"/>
          <w:i w:val="0"/>
          <w:color w:val="000000"/>
          <w:sz w:val="20"/>
        </w:rPr>
        <w:t xml:space="preserve">Fraudulent job ads are designed to bait vulnerable candidates, often promising high compensation, flexible hours, and low requirements. Once candidates apply, fraudsters exploit the situation to perform identity theft (obtaining bank account numbers, social security numbers) or to run financial scams </w:t>
      </w:r>
      <w:hyperlink w:anchor="ref3">
        <w:r>
          <w:rPr>
            <w:color w:val="0563C1"/>
            <w:u w:val="single"/>
            <w:rFonts w:ascii="Times New Roman" w:hAnsi="Times New Roman"/>
            <w:sz w:val="20"/>
          </w:rPr>
          <w:t>[3]</w:t>
        </w:r>
      </w:hyperlink>
      <w:r>
        <w:rPr>
          <w:rFonts w:ascii="Times New Roman" w:hAnsi="Times New Roman"/>
          <w:b w:val="0"/>
          <w:i w:val="0"/>
          <w:color w:val="000000"/>
          <w:sz w:val="20"/>
        </w:rPr>
        <w:t>. During periods of high economic uncertainty and remote work popularity, the volume and sophistication of these scams have grown exponentially.</w:t>
      </w:r>
    </w:p>
    <w:p>
      <w:pPr>
        <w:spacing w:line="240" w:lineRule="auto" w:after="60"/>
        <w:ind w:firstLine="216"/>
        <w:jc w:val="both"/>
      </w:pPr>
      <w:r>
        <w:rPr>
          <w:rFonts w:ascii="Times New Roman" w:hAnsi="Times New Roman"/>
          <w:b w:val="0"/>
          <w:i w:val="0"/>
          <w:color w:val="000000"/>
          <w:sz w:val="20"/>
        </w:rPr>
        <w:t xml:space="preserve">Detecting fraudulent postings is an intricate natural language processing (NLP) problem. Deceptive listings are constructed using highly professional language, often copying corporate profiles from legitimate websites to look genuine </w:t>
      </w:r>
      <w:hyperlink w:anchor="ref4">
        <w:r>
          <w:rPr>
            <w:color w:val="0563C1"/>
            <w:u w:val="single"/>
            <w:rFonts w:ascii="Times New Roman" w:hAnsi="Times New Roman"/>
            <w:sz w:val="20"/>
          </w:rPr>
          <w:t>[4]</w:t>
        </w:r>
      </w:hyperlink>
      <w:r>
        <w:rPr>
          <w:rFonts w:ascii="Times New Roman" w:hAnsi="Times New Roman"/>
          <w:b w:val="0"/>
          <w:i w:val="0"/>
          <w:color w:val="000000"/>
          <w:sz w:val="20"/>
        </w:rPr>
        <w:t>. Therefore, traditional keyword filtering or rule-based systems fail because they cannot capture semantic anomalies or context.</w:t>
      </w:r>
    </w:p>
    <w:p>
      <w:pPr>
        <w:spacing w:line="240" w:lineRule="auto" w:after="60"/>
        <w:ind w:firstLine="216"/>
        <w:jc w:val="both"/>
      </w:pPr>
      <w:r>
        <w:rPr>
          <w:rFonts w:ascii="Times New Roman" w:hAnsi="Times New Roman"/>
          <w:b w:val="0"/>
          <w:i w:val="0"/>
          <w:color w:val="000000"/>
          <w:sz w:val="20"/>
        </w:rPr>
        <w:t xml:space="preserve">Early automated detection systems deployed machine learning models such as Logistic Regression and Random Forest on features extracted via TF-IDF </w:t>
      </w:r>
      <w:hyperlink w:anchor="ref5">
        <w:r>
          <w:rPr>
            <w:color w:val="0563C1"/>
            <w:u w:val="single"/>
            <w:rFonts w:ascii="Times New Roman" w:hAnsi="Times New Roman"/>
            <w:sz w:val="20"/>
          </w:rPr>
          <w:t>[5]</w:t>
        </w:r>
      </w:hyperlink>
      <w:r>
        <w:rPr>
          <w:rFonts w:ascii="Times New Roman" w:hAnsi="Times New Roman"/>
          <w:b w:val="0"/>
          <w:i w:val="0"/>
          <w:color w:val="000000"/>
          <w:sz w:val="20"/>
        </w:rPr>
        <w:t xml:space="preserve">. Although computationally efficient, these models suffer from high-dimensional sparse representations and completely ignore the ordering and semantic context of words. To resolve this, deep learning models such as Recurrent Neural Networks (RNN) and Bidirectional Long Short-Term Memory (Bi-LSTM) were proposed </w:t>
      </w:r>
      <w:hyperlink w:anchor="ref2">
        <w:r>
          <w:rPr>
            <w:color w:val="0563C1"/>
            <w:u w:val="single"/>
            <w:rFonts w:ascii="Times New Roman" w:hAnsi="Times New Roman"/>
            <w:sz w:val="20"/>
          </w:rPr>
          <w:t>[2]</w:t>
        </w:r>
      </w:hyperlink>
      <w:r>
        <w:rPr>
          <w:rFonts w:ascii="Times New Roman" w:hAnsi="Times New Roman"/>
          <w:b w:val="0"/>
          <w:i w:val="0"/>
          <w:color w:val="000000"/>
          <w:sz w:val="20"/>
        </w:rPr>
        <w:t>. These models process sequential text using dense representations, but their performance remains limited when relying on static pre-trained embeddings (such as Word2Vec or GloVe) which fail to adjust a word's representation based on its dynamic context.</w:t>
      </w:r>
    </w:p>
    <w:p>
      <w:pPr>
        <w:spacing w:line="240" w:lineRule="auto" w:after="60"/>
        <w:ind w:firstLine="216"/>
        <w:jc w:val="both"/>
      </w:pPr>
      <w:r>
        <w:rPr>
          <w:rFonts w:ascii="Times New Roman" w:hAnsi="Times New Roman"/>
          <w:b w:val="0"/>
          <w:i w:val="0"/>
          <w:color w:val="000000"/>
          <w:sz w:val="20"/>
        </w:rPr>
        <w:t xml:space="preserve">Recently, Transformer-based models like BERT have redefined the state-of-the-art in NLP </w:t>
      </w:r>
      <w:hyperlink w:anchor="ref6">
        <w:r>
          <w:rPr>
            <w:color w:val="0563C1"/>
            <w:u w:val="single"/>
            <w:rFonts w:ascii="Times New Roman" w:hAnsi="Times New Roman"/>
            <w:sz w:val="20"/>
          </w:rPr>
          <w:t>[6]</w:t>
        </w:r>
      </w:hyperlink>
      <w:r>
        <w:rPr>
          <w:rFonts w:ascii="Times New Roman" w:hAnsi="Times New Roman"/>
          <w:b w:val="0"/>
          <w:i w:val="0"/>
          <w:color w:val="000000"/>
          <w:sz w:val="20"/>
        </w:rPr>
        <w:t xml:space="preserve">, </w:t>
      </w:r>
      <w:hyperlink w:anchor="ref7">
        <w:r>
          <w:rPr>
            <w:color w:val="0563C1"/>
            <w:u w:val="single"/>
            <w:rFonts w:ascii="Times New Roman" w:hAnsi="Times New Roman"/>
            <w:sz w:val="20"/>
          </w:rPr>
          <w:t>[7]</w:t>
        </w:r>
      </w:hyperlink>
      <w:r>
        <w:rPr>
          <w:rFonts w:ascii="Times New Roman" w:hAnsi="Times New Roman"/>
          <w:b w:val="0"/>
          <w:i w:val="0"/>
          <w:color w:val="000000"/>
          <w:sz w:val="20"/>
        </w:rPr>
        <w:t>. BERT uses self-attention mechanisms to generate context-aware bidirectional representations of tokens. Standalone BERT architectures classify text by passing the representation of the special classification token ([CLS]) directly into a dense output layer. However, this approach discards token-level sequential and contextual variations across the full text sequence, which are critical for recognizing structural and linguistic tells in fraudulent job ads.</w:t>
      </w:r>
    </w:p>
    <w:p>
      <w:pPr>
        <w:spacing w:line="240" w:lineRule="auto" w:after="60"/>
        <w:ind w:firstLine="216"/>
        <w:jc w:val="both"/>
      </w:pPr>
      <w:r>
        <w:rPr>
          <w:rFonts w:ascii="Times New Roman" w:hAnsi="Times New Roman"/>
          <w:b w:val="0"/>
          <w:i w:val="0"/>
          <w:color w:val="000000"/>
          <w:sz w:val="20"/>
        </w:rPr>
        <w:t xml:space="preserve">To bridge this gap,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model. This architecture leverages the strengths of both paradigms: (1) We utilize a pre-trained </w:t>
      </w:r>
      <w:r>
        <w:rPr>
          <w:rFonts w:ascii="Times New Roman" w:hAnsi="Times New Roman"/>
          <w:b/>
          <w:i w:val="0"/>
          <w:color w:val="000000"/>
          <w:sz w:val="20"/>
        </w:rPr>
        <w:t>BERT</w:t>
      </w:r>
      <w:r>
        <w:rPr>
          <w:rFonts w:ascii="Times New Roman" w:hAnsi="Times New Roman"/>
          <w:b w:val="0"/>
          <w:i w:val="0"/>
          <w:color w:val="000000"/>
          <w:sz w:val="20"/>
        </w:rPr>
        <w:t xml:space="preserve"> encoder to extract contextually rich sequence embeddings. (2) We feed these sequential embeddings into a </w:t>
      </w:r>
      <w:r>
        <w:rPr>
          <w:rFonts w:ascii="Times New Roman" w:hAnsi="Times New Roman"/>
          <w:b/>
          <w:i w:val="0"/>
          <w:color w:val="000000"/>
          <w:sz w:val="20"/>
        </w:rPr>
        <w:t>Bidirectional LSTM</w:t>
      </w:r>
      <w:r>
        <w:rPr>
          <w:rFonts w:ascii="Times New Roman" w:hAnsi="Times New Roman"/>
          <w:b w:val="0"/>
          <w:i w:val="0"/>
          <w:color w:val="000000"/>
          <w:sz w:val="20"/>
        </w:rPr>
        <w:t xml:space="preserve"> network to analyze the global syntax, sequential patterns, and long-range dependencies across the text. (3) We address class imbalance using a class-weighted loss function rather than data-altering oversampling (like SMOTE).</w:t>
      </w:r>
    </w:p>
    <w:p>
      <w:pPr>
        <w:spacing w:line="240" w:lineRule="auto" w:after="60"/>
        <w:ind w:firstLine="216"/>
        <w:jc w:val="both"/>
      </w:pPr>
      <w:r>
        <w:rPr>
          <w:rFonts w:ascii="Times New Roman" w:hAnsi="Times New Roman"/>
          <w:b w:val="0"/>
          <w:i w:val="0"/>
          <w:color w:val="000000"/>
          <w:sz w:val="20"/>
        </w:rPr>
        <w:t xml:space="preserve">Furthermore, we incorporate </w:t>
      </w:r>
      <w:r>
        <w:rPr>
          <w:rFonts w:ascii="Times New Roman" w:hAnsi="Times New Roman"/>
          <w:b/>
          <w:i w:val="0"/>
          <w:color w:val="000000"/>
          <w:sz w:val="20"/>
        </w:rPr>
        <w:t>Explainable AI (XAI)</w:t>
      </w:r>
      <w:r>
        <w:rPr>
          <w:rFonts w:ascii="Times New Roman" w:hAnsi="Times New Roman"/>
          <w:b w:val="0"/>
          <w:i w:val="0"/>
          <w:color w:val="000000"/>
          <w:sz w:val="20"/>
        </w:rPr>
        <w:t xml:space="preserve"> principles using SHAP values to identify terms that most strongly signal fraudulent intent, addressing the black-box nature of deep neural networks. We also provide a complete </w:t>
      </w:r>
      <w:r>
        <w:rPr>
          <w:rFonts w:ascii="Times New Roman" w:hAnsi="Times New Roman"/>
          <w:b/>
          <w:i w:val="0"/>
          <w:color w:val="000000"/>
          <w:sz w:val="20"/>
        </w:rPr>
        <w:t>Ablation Study</w:t>
      </w:r>
      <w:r>
        <w:rPr>
          <w:rFonts w:ascii="Times New Roman" w:hAnsi="Times New Roman"/>
          <w:b w:val="0"/>
          <w:i w:val="0"/>
          <w:color w:val="000000"/>
          <w:sz w:val="20"/>
        </w:rPr>
        <w:t xml:space="preserve"> and a thorough </w:t>
      </w:r>
      <w:r>
        <w:rPr>
          <w:rFonts w:ascii="Times New Roman" w:hAnsi="Times New Roman"/>
          <w:b/>
          <w:i w:val="0"/>
          <w:color w:val="000000"/>
          <w:sz w:val="20"/>
        </w:rPr>
        <w:t>Error Analysis</w:t>
      </w:r>
      <w:r>
        <w:rPr>
          <w:rFonts w:ascii="Times New Roman" w:hAnsi="Times New Roman"/>
          <w:b w:val="0"/>
          <w:i w:val="0"/>
          <w:color w:val="000000"/>
          <w:sz w:val="20"/>
        </w:rPr>
        <w:t xml:space="preserve"> to demonstrate the scientific validity and statistical significance of our model's performance.</w:t>
      </w:r>
    </w:p>
    <w:p>
      <w:pPr>
        <w:keepNext/>
        <w:spacing w:before="200" w:after="80"/>
        <w:jc w:val="center"/>
      </w:pPr>
      <w:r>
        <w:rPr>
          <w:rFonts w:ascii="Times New Roman" w:hAnsi="Times New Roman"/>
          <w:b/>
          <w:i w:val="0"/>
          <w:color w:val="000000"/>
          <w:sz w:val="20"/>
        </w:rPr>
        <w:t>II.  RELATED WORK</w:t>
      </w:r>
    </w:p>
    <w:p>
      <w:pPr>
        <w:spacing w:line="240" w:lineRule="auto" w:after="6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20" w:after="40"/>
        <w:jc w:val="left"/>
      </w:pPr>
      <w:r>
        <w:rPr>
          <w:rFonts w:ascii="Times New Roman" w:hAnsi="Times New Roman"/>
          <w:b w:val="0"/>
          <w:i/>
          <w:color w:val="000000"/>
          <w:sz w:val="20"/>
        </w:rPr>
        <w:t>A. Machine Learning Approaches</w:t>
      </w:r>
    </w:p>
    <w:p>
      <w:pPr>
        <w:spacing w:line="240" w:lineRule="auto" w:after="60"/>
        <w:ind w:firstLine="216"/>
        <w:jc w:val="both"/>
      </w:pPr>
      <w:r>
        <w:rPr>
          <w:rFonts w:ascii="Times New Roman" w:hAnsi="Times New Roman"/>
          <w:b w:val="0"/>
          <w:i w:val="0"/>
          <w:color w:val="000000"/>
          <w:sz w:val="20"/>
        </w:rPr>
        <w:t xml:space="preserve">Salloum et al. </w:t>
      </w:r>
      <w:hyperlink w:anchor="ref5">
        <w:r>
          <w:rPr>
            <w:color w:val="0563C1"/>
            <w:u w:val="single"/>
            <w:rFonts w:ascii="Times New Roman" w:hAnsi="Times New Roman"/>
            <w:sz w:val="20"/>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class due to severe data imbalance. Chiraratanasopha and Chay-intr </w:t>
      </w:r>
      <w:hyperlink w:anchor="ref4">
        <w:r>
          <w:rPr>
            <w:color w:val="0563C1"/>
            <w:u w:val="single"/>
            <w:rFonts w:ascii="Times New Roman" w:hAnsi="Times New Roman"/>
            <w:sz w:val="20"/>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yielding an accuracy of 97.64%. Naudé et al. </w:t>
      </w:r>
      <w:hyperlink w:anchor="ref3">
        <w:r>
          <w:rPr>
            <w:color w:val="0563C1"/>
            <w:u w:val="single"/>
            <w:rFonts w:ascii="Times New Roman" w:hAnsi="Times New Roman"/>
            <w:sz w:val="20"/>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9">
        <w:r>
          <w:rPr>
            <w:color w:val="0563C1"/>
            <w:u w:val="single"/>
            <w:rFonts w:ascii="Times New Roman" w:hAnsi="Times New Roman"/>
            <w:sz w:val="20"/>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13">
        <w:r>
          <w:rPr>
            <w:color w:val="0563C1"/>
            <w:u w:val="single"/>
            <w:rFonts w:ascii="Times New Roman" w:hAnsi="Times New Roman"/>
            <w:sz w:val="20"/>
          </w:rPr>
          <w:t>[13]</w:t>
        </w:r>
      </w:hyperlink>
      <w:r>
        <w:rPr>
          <w:rFonts w:ascii="Times New Roman" w:hAnsi="Times New Roman"/>
          <w:b w:val="0"/>
          <w:i w:val="0"/>
          <w:color w:val="000000"/>
          <w:sz w:val="20"/>
        </w:rPr>
        <w:t xml:space="preserve"> benchmarked several traditional ML models and noted that Support Vector Machines (SVM) could extract reliable decision boundaries on smaller token vocabularies.</w:t>
      </w:r>
    </w:p>
    <w:p>
      <w:pPr>
        <w:keepNext/>
        <w:spacing w:before="120" w:after="40"/>
        <w:jc w:val="left"/>
      </w:pPr>
      <w:r>
        <w:rPr>
          <w:rFonts w:ascii="Times New Roman" w:hAnsi="Times New Roman"/>
          <w:b w:val="0"/>
          <w:i/>
          <w:color w:val="000000"/>
          <w:sz w:val="20"/>
        </w:rPr>
        <w:t>B. Deep Learning and Transformer Models</w:t>
      </w:r>
    </w:p>
    <w:p>
      <w:pPr>
        <w:spacing w:line="240" w:lineRule="auto" w:after="6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2">
        <w:r>
          <w:rPr>
            <w:color w:val="0563C1"/>
            <w:u w:val="single"/>
            <w:rFonts w:ascii="Times New Roman" w:hAnsi="Times New Roman"/>
            <w:sz w:val="20"/>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10">
        <w:r>
          <w:rPr>
            <w:color w:val="0563C1"/>
            <w:u w:val="single"/>
            <w:rFonts w:ascii="Times New Roman" w:hAnsi="Times New Roman"/>
            <w:sz w:val="20"/>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11">
        <w:r>
          <w:rPr>
            <w:color w:val="0563C1"/>
            <w:u w:val="single"/>
            <w:rFonts w:ascii="Times New Roman" w:hAnsi="Times New Roman"/>
            <w:sz w:val="20"/>
          </w:rPr>
          <w:t>[11]</w:t>
        </w:r>
      </w:hyperlink>
      <w:r>
        <w:rPr>
          <w:rFonts w:ascii="Times New Roman" w:hAnsi="Times New Roman"/>
          <w:b w:val="0"/>
          <w:i w:val="0"/>
          <w:color w:val="000000"/>
          <w:sz w:val="20"/>
        </w:rPr>
        <w:t xml:space="preserve"> investigated deceptive content detection on online boards using ensemble learning combined with Word2Vec representations. Vidros et al. </w:t>
      </w:r>
      <w:hyperlink w:anchor="ref12">
        <w:r>
          <w:rPr>
            <w:color w:val="0563C1"/>
            <w:u w:val="single"/>
            <w:rFonts w:ascii="Times New Roman" w:hAnsi="Times New Roman"/>
            <w:sz w:val="20"/>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40" w:lineRule="auto" w:after="6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1">
        <w:r>
          <w:rPr>
            <w:color w:val="0563C1"/>
            <w:u w:val="single"/>
            <w:rFonts w:ascii="Times New Roman" w:hAnsi="Times New Roman"/>
            <w:sz w:val="20"/>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6">
        <w:r>
          <w:rPr>
            <w:color w:val="0563C1"/>
            <w:u w:val="single"/>
            <w:rFonts w:ascii="Times New Roman" w:hAnsi="Times New Roman"/>
            <w:sz w:val="20"/>
          </w:rPr>
          <w:t>[6]</w:t>
        </w:r>
      </w:hyperlink>
      <w:r>
        <w:rPr>
          <w:rFonts w:ascii="Times New Roman" w:hAnsi="Times New Roman"/>
          <w:b w:val="0"/>
          <w:i w:val="0"/>
          <w:color w:val="000000"/>
          <w:sz w:val="20"/>
        </w:rPr>
        <w:t xml:space="preserve"> combined BERT with sentiment polarity analysis to model the emotional tone of descriptions, achieving highly accurate classifications. Gupta and Rani </w:t>
      </w:r>
      <w:hyperlink w:anchor="ref14">
        <w:r>
          <w:rPr>
            <w:color w:val="0563C1"/>
            <w:u w:val="single"/>
            <w:rFonts w:ascii="Times New Roman" w:hAnsi="Times New Roman"/>
            <w:sz w:val="20"/>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15">
        <w:r>
          <w:rPr>
            <w:color w:val="0563C1"/>
            <w:u w:val="single"/>
            <w:rFonts w:ascii="Times New Roman" w:hAnsi="Times New Roman"/>
            <w:sz w:val="20"/>
          </w:rPr>
          <w:t>[15]</w:t>
        </w:r>
      </w:hyperlink>
      <w:r>
        <w:rPr>
          <w:rFonts w:ascii="Times New Roman" w:hAnsi="Times New Roman"/>
          <w:b w:val="0"/>
          <w:i w:val="0"/>
          <w:color w:val="000000"/>
          <w:sz w:val="20"/>
        </w:rPr>
        <w:t xml:space="preserve"> recently combined a pre-trained transformer with a hybrid deep learning classifier.</w:t>
      </w:r>
    </w:p>
    <w:p>
      <w:pPr>
        <w:spacing w:line="240" w:lineRule="auto" w:after="60"/>
        <w:ind w:firstLine="216"/>
        <w:jc w:val="both"/>
      </w:pPr>
      <w:r>
        <w:rPr>
          <w:rFonts w:ascii="Times New Roman" w:hAnsi="Times New Roman"/>
          <w:b w:val="0"/>
          <w:i w:val="0"/>
          <w:color w:val="000000"/>
          <w:sz w:val="20"/>
        </w:rPr>
        <w:t xml:space="preserve">More recently, hybrid frameworks have been explored. Srilakshmi et al. </w:t>
      </w:r>
      <w:hyperlink w:anchor="ref7">
        <w:r>
          <w:rPr>
            <w:color w:val="0563C1"/>
            <w:u w:val="single"/>
            <w:rFonts w:ascii="Times New Roman" w:hAnsi="Times New Roman"/>
            <w:sz w:val="20"/>
          </w:rPr>
          <w:t>[7]</w:t>
        </w:r>
      </w:hyperlink>
      <w:r>
        <w:rPr>
          <w:rFonts w:ascii="Times New Roman" w:hAnsi="Times New Roman"/>
          <w:b w:val="0"/>
          <w:i w:val="0"/>
          <w:color w:val="000000"/>
          <w:sz w:val="20"/>
        </w:rPr>
        <w:t xml:space="preserve"> and Varshitha et al. </w:t>
      </w:r>
      <w:hyperlink w:anchor="ref8">
        <w:r>
          <w:rPr>
            <w:color w:val="0563C1"/>
            <w:u w:val="single"/>
            <w:rFonts w:ascii="Times New Roman" w:hAnsi="Times New Roman"/>
            <w:sz w:val="20"/>
          </w:rPr>
          <w:t>[8]</w:t>
        </w:r>
      </w:hyperlink>
      <w:r>
        <w:rPr>
          <w:rFonts w:ascii="Times New Roman" w:hAnsi="Times New Roman"/>
          <w:b w:val="0"/>
          <w:i w:val="0"/>
          <w:color w:val="000000"/>
          <w:sz w:val="20"/>
        </w:rPr>
        <w:t xml:space="preserve"> proposed architectures combining BERT/RoBERTa with a 2D Convolutional Neural Network (CNN2D) classifier, using oversampling methods to mitigate dataset imbalance. While CNN2D models excel at capturing local spatial patterns, they are less suited than Bi-LSTMs for modeling the continuous sequential and temporal dependencies of long textual job advertisements. Our research improves upon these models by pairing BERT's contextual power with a sequential Bi-LSTM head, offering a unified, computationally efficient framework that trains directly on the class-weighted imbalanced dataset without distorting textual distributions.</w:t>
      </w:r>
    </w:p>
    <w:p>
      <w:pPr>
        <w:keepNext/>
        <w:spacing w:before="200" w:after="80"/>
        <w:jc w:val="center"/>
      </w:pPr>
      <w:r>
        <w:rPr>
          <w:rFonts w:ascii="Times New Roman" w:hAnsi="Times New Roman"/>
          <w:b/>
          <w:i w:val="0"/>
          <w:color w:val="000000"/>
          <w:sz w:val="20"/>
        </w:rPr>
        <w:t>III.  PROPOSED METHODOLOGY</w:t>
      </w:r>
    </w:p>
    <w:p>
      <w:pPr>
        <w:spacing w:line="240" w:lineRule="auto" w:after="60"/>
        <w:ind w:firstLine="216"/>
        <w:jc w:val="both"/>
      </w:pPr>
      <w:r>
        <w:rPr>
          <w:rFonts w:ascii="Times New Roman" w:hAnsi="Times New Roman"/>
          <w:b w:val="0"/>
          <w:i w:val="0"/>
          <w:color w:val="000000"/>
          <w:sz w:val="20"/>
        </w:rPr>
        <w:t>The proposed hybrid BERT-BiLSTM framework consists of three main stages: (A) Data Preprocessing and Concatenation, (B) BERT Contextual Embedding Extraction, and (C) Bi-LSTM Sequential Classification. The details of these components are described below.</w:t>
      </w:r>
    </w:p>
    <w:p>
      <w:pPr>
        <w:keepNext/>
        <w:spacing w:before="120" w:after="40"/>
        <w:jc w:val="left"/>
      </w:pPr>
      <w:r>
        <w:rPr>
          <w:rFonts w:ascii="Times New Roman" w:hAnsi="Times New Roman"/>
          <w:b w:val="0"/>
          <w:i/>
          <w:color w:val="000000"/>
          <w:sz w:val="20"/>
        </w:rPr>
        <w:t>A. Data Preprocessing and Concatenation</w:t>
      </w:r>
    </w:p>
    <w:p>
      <w:pPr>
        <w:spacing w:line="240" w:lineRule="auto" w:after="60"/>
        <w:ind w:firstLine="216"/>
        <w:jc w:val="both"/>
      </w:pPr>
      <w:r>
        <w:rPr>
          <w:rFonts w:ascii="Times New Roman" w:hAnsi="Times New Roman"/>
          <w:b w:val="0"/>
          <w:i w:val="0"/>
          <w:color w:val="000000"/>
          <w:sz w:val="20"/>
        </w:rPr>
        <w:t>Each job posting in the EMSCAD dataset contains both structured metadata and unstructured text. To leverage all textual clues, we clean and concatenate five primary fields: Job Title (T), Company Profile (C), Job Description (D), Requirements (R), and Benefits (B). The combined text representation X_i is defined as:</w:t>
      </w:r>
    </w:p>
    <w:p>
      <w:pPr>
        <w:spacing w:before="80" w:after="80"/>
        <w:jc w:val="center"/>
      </w:pPr>
      <w:r>
        <w:rPr>
          <w:rFonts w:ascii="Times New Roman" w:hAnsi="Times New Roman"/>
          <w:b w:val="0"/>
          <w:i/>
          <w:color w:val="000000"/>
          <w:sz w:val="20"/>
        </w:rPr>
        <w:t>X_i = [T_i] || [C_i] || [D_i] || [R_i] || [B_i]</w:t>
        <w:tab/>
        <w:tab/>
      </w:r>
      <w:r>
        <w:rPr>
          <w:rFonts w:ascii="Times New Roman" w:hAnsi="Times New Roman"/>
          <w:b w:val="0"/>
          <w:i w:val="0"/>
          <w:color w:val="000000"/>
          <w:sz w:val="20"/>
        </w:rPr>
        <w:t>(1)</w:t>
      </w:r>
    </w:p>
    <w:p>
      <w:pPr>
        <w:spacing w:line="240" w:lineRule="auto" w:after="60"/>
        <w:ind w:firstLine="216"/>
        <w:jc w:val="both"/>
      </w:pPr>
      <w:r>
        <w:rPr>
          <w:rFonts w:ascii="Times New Roman" w:hAnsi="Times New Roman"/>
          <w:b w:val="0"/>
          <w:i w:val="0"/>
          <w:color w:val="000000"/>
          <w:sz w:val="20"/>
        </w:rPr>
        <w:t>where || represents string concatenation. The combined text is cleaned by removing HTML tags and normalizing white spaces, keeping punctuation intact to preserve syntactic clues for the transformer model.</w:t>
      </w:r>
    </w:p>
    <w:p>
      <w:pPr>
        <w:keepNext/>
        <w:spacing w:before="120" w:after="40"/>
        <w:jc w:val="left"/>
      </w:pPr>
      <w:r>
        <w:rPr>
          <w:rFonts w:ascii="Times New Roman" w:hAnsi="Times New Roman"/>
          <w:b w:val="0"/>
          <w:i/>
          <w:color w:val="000000"/>
          <w:sz w:val="20"/>
        </w:rPr>
        <w:t>B. BERT Contextual Embedding Extraction</w:t>
      </w:r>
    </w:p>
    <w:p>
      <w:pPr>
        <w:spacing w:line="240" w:lineRule="auto" w:after="60"/>
        <w:ind w:firstLine="216"/>
        <w:jc w:val="both"/>
      </w:pPr>
      <w:r>
        <w:rPr>
          <w:rFonts w:ascii="Times New Roman" w:hAnsi="Times New Roman"/>
          <w:b w:val="0"/>
          <w:i w:val="0"/>
          <w:color w:val="000000"/>
          <w:sz w:val="20"/>
        </w:rPr>
        <w:t>The preprocessed text sequence is tokenized using the WordPiece tokenizer associated with BERT. For an input sequence of length L, the tokenizer generates input tokens T_1, T_2, ..., T_L, including the classification token [CLS] at the beginning.</w:t>
      </w:r>
    </w:p>
    <w:p>
      <w:pPr>
        <w:spacing w:line="240" w:lineRule="auto" w:after="60"/>
        <w:ind w:firstLine="216"/>
        <w:jc w:val="both"/>
      </w:pPr>
      <w:r>
        <w:rPr>
          <w:rFonts w:ascii="Times New Roman" w:hAnsi="Times New Roman"/>
          <w:b w:val="0"/>
          <w:i w:val="0"/>
          <w:color w:val="000000"/>
          <w:sz w:val="20"/>
        </w:rPr>
        <w:t>These tokens are mapped to input IDs and fed into the BERT model. BERT encodes the tokens to output a sequence of contextual hidden states:</w:t>
      </w:r>
    </w:p>
    <w:p>
      <w:pPr>
        <w:spacing w:before="80" w:after="80"/>
        <w:jc w:val="center"/>
      </w:pPr>
      <w:r>
        <w:rPr>
          <w:rFonts w:ascii="Times New Roman" w:hAnsi="Times New Roman"/>
          <w:b w:val="0"/>
          <w:i/>
          <w:color w:val="000000"/>
          <w:sz w:val="20"/>
        </w:rPr>
        <w:t>H = BERT(I, A) ∈ ℝ^(B × L × D)</w:t>
        <w:tab/>
        <w:tab/>
      </w:r>
      <w:r>
        <w:rPr>
          <w:rFonts w:ascii="Times New Roman" w:hAnsi="Times New Roman"/>
          <w:b w:val="0"/>
          <w:i w:val="0"/>
          <w:color w:val="000000"/>
          <w:sz w:val="20"/>
        </w:rPr>
        <w:t>(2)</w:t>
      </w:r>
    </w:p>
    <w:p>
      <w:pPr>
        <w:spacing w:line="240" w:lineRule="auto" w:after="60"/>
        <w:ind w:firstLine="216"/>
        <w:jc w:val="both"/>
      </w:pPr>
      <w:r>
        <w:rPr>
          <w:rFonts w:ascii="Times New Roman" w:hAnsi="Times New Roman"/>
          <w:b w:val="0"/>
          <w:i w:val="0"/>
          <w:color w:val="000000"/>
          <w:sz w:val="20"/>
        </w:rPr>
        <w:t>where B is the batch size, L is the sequence length (L = 256), D is the hidden embedding dimension (D = 768), I represents input IDs, and A represents the attention masks. Unlike standalone BERT architectures that only use the classification token embedding H_0, our model retains the full sequence representation H to serve as sequential inputs for the subsequent recurrent layers, preventing the loss of localized sequence dependencies.</w:t>
      </w:r>
    </w:p>
    <w:p>
      <w:pPr>
        <w:spacing w:before="120" w:after="40"/>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architecture_placeholder.jpg"/>
                    <pic:cNvPicPr/>
                  </pic:nvPicPr>
                  <pic:blipFill>
                    <a:blip r:embed="rId9"/>
                    <a:stretch>
                      <a:fillRect/>
                    </a:stretch>
                  </pic:blipFill>
                  <pic:spPr>
                    <a:xfrm>
                      <a:off x="0" y="0"/>
                      <a:ext cx="2651760" cy="2651760"/>
                    </a:xfrm>
                    <a:prstGeom prst="rect"/>
                  </pic:spPr>
                </pic:pic>
              </a:graphicData>
            </a:graphic>
          </wp:inline>
        </w:drawing>
      </w:r>
    </w:p>
    <w:p>
      <w:pPr>
        <w:spacing w:after="120"/>
        <w:jc w:val="center"/>
      </w:pPr>
      <w:r>
        <w:rPr>
          <w:rFonts w:ascii="Times New Roman" w:hAnsi="Times New Roman"/>
          <w:b w:val="0"/>
          <w:i w:val="0"/>
          <w:color w:val="000000"/>
          <w:sz w:val="16"/>
        </w:rPr>
        <w:t>Fig. 1. System Architecture of the Proposed Hybrid BERT-BiLSTM framework.</w:t>
      </w:r>
    </w:p>
    <w:p>
      <w:pPr>
        <w:keepNext/>
        <w:spacing w:before="120" w:after="40"/>
        <w:jc w:val="left"/>
      </w:pPr>
      <w:r>
        <w:rPr>
          <w:rFonts w:ascii="Times New Roman" w:hAnsi="Times New Roman"/>
          <w:b w:val="0"/>
          <w:i/>
          <w:color w:val="000000"/>
          <w:sz w:val="20"/>
        </w:rPr>
        <w:t>C. Bi-LSTM Sequential Classification</w:t>
      </w:r>
    </w:p>
    <w:p>
      <w:pPr>
        <w:spacing w:line="240" w:lineRule="auto" w:after="60"/>
        <w:ind w:firstLine="216"/>
        <w:jc w:val="both"/>
      </w:pPr>
      <w:r>
        <w:rPr>
          <w:rFonts w:ascii="Times New Roman" w:hAnsi="Times New Roman"/>
          <w:b w:val="0"/>
          <w:i w:val="0"/>
          <w:color w:val="000000"/>
          <w:sz w:val="20"/>
        </w:rPr>
        <w:t>To model the bidirectional context and dependencies of the sequence, the hidden states H are passed into a Bidirectional LSTM layer. The Bi-LSTM processes the sequence in both forward and backward directions:</w:t>
      </w:r>
    </w:p>
    <w:p>
      <w:pPr>
        <w:spacing w:before="80" w:after="80"/>
        <w:jc w:val="center"/>
      </w:pPr>
      <w:r>
        <w:rPr>
          <w:rFonts w:ascii="Times New Roman" w:hAnsi="Times New Roman"/>
          <w:b w:val="0"/>
          <w:i/>
          <w:color w:val="000000"/>
          <w:sz w:val="20"/>
        </w:rPr>
        <w:t>h_t_fwd = LSTM_fwd(H_t, h_(t-1)_fwd)</w:t>
        <w:tab/>
        <w:tab/>
      </w:r>
      <w:r>
        <w:rPr>
          <w:rFonts w:ascii="Times New Roman" w:hAnsi="Times New Roman"/>
          <w:b w:val="0"/>
          <w:i w:val="0"/>
          <w:color w:val="000000"/>
          <w:sz w:val="20"/>
        </w:rPr>
        <w:t>(3)</w:t>
      </w:r>
    </w:p>
    <w:p>
      <w:pPr>
        <w:spacing w:before="80" w:after="80"/>
        <w:jc w:val="center"/>
      </w:pPr>
      <w:r>
        <w:rPr>
          <w:rFonts w:ascii="Times New Roman" w:hAnsi="Times New Roman"/>
          <w:b w:val="0"/>
          <w:i/>
          <w:color w:val="000000"/>
          <w:sz w:val="20"/>
        </w:rPr>
        <w:t>h_t_bwd = LSTM_bwd(H_t, h_(t+1)_bwd)</w:t>
        <w:tab/>
        <w:tab/>
      </w:r>
      <w:r>
        <w:rPr>
          <w:rFonts w:ascii="Times New Roman" w:hAnsi="Times New Roman"/>
          <w:b w:val="0"/>
          <w:i w:val="0"/>
          <w:color w:val="000000"/>
          <w:sz w:val="20"/>
        </w:rPr>
        <w:t>(4)</w:t>
      </w:r>
    </w:p>
    <w:p>
      <w:pPr>
        <w:spacing w:line="240" w:lineRule="auto" w:after="60"/>
        <w:ind w:firstLine="216"/>
        <w:jc w:val="both"/>
      </w:pPr>
      <w:r>
        <w:rPr>
          <w:rFonts w:ascii="Times New Roman" w:hAnsi="Times New Roman"/>
          <w:b w:val="0"/>
          <w:i w:val="0"/>
          <w:color w:val="000000"/>
          <w:sz w:val="20"/>
        </w:rPr>
        <w:t>For each token t, the forward and backward hidden states are concatenated to yield the complete bidirectional hidden state:</w:t>
      </w:r>
    </w:p>
    <w:p>
      <w:pPr>
        <w:spacing w:before="80" w:after="80"/>
        <w:jc w:val="center"/>
      </w:pPr>
      <w:r>
        <w:rPr>
          <w:rFonts w:ascii="Times New Roman" w:hAnsi="Times New Roman"/>
          <w:b w:val="0"/>
          <w:i/>
          <w:color w:val="000000"/>
          <w:sz w:val="20"/>
        </w:rPr>
        <w:t>h_t = [h_t_fwd || h_t_bwd] ∈ ℝ^(2 × D_lstm)</w:t>
        <w:tab/>
        <w:tab/>
      </w:r>
      <w:r>
        <w:rPr>
          <w:rFonts w:ascii="Times New Roman" w:hAnsi="Times New Roman"/>
          <w:b w:val="0"/>
          <w:i w:val="0"/>
          <w:color w:val="000000"/>
          <w:sz w:val="20"/>
        </w:rPr>
        <w:t>(5)</w:t>
      </w:r>
    </w:p>
    <w:p>
      <w:pPr>
        <w:spacing w:line="240" w:lineRule="auto" w:after="60"/>
        <w:ind w:firstLine="216"/>
        <w:jc w:val="both"/>
      </w:pPr>
      <w:r>
        <w:rPr>
          <w:rFonts w:ascii="Times New Roman" w:hAnsi="Times New Roman"/>
          <w:b w:val="0"/>
          <w:i w:val="0"/>
          <w:color w:val="000000"/>
          <w:sz w:val="20"/>
        </w:rPr>
        <w:t>where D_lstm is the hidden dimension of each LSTM direction (D_lstm = 128). The full sequence output of the Bi-LSTM is represented as Y ∈ ℝ^(B × L × 2D_lstm). To aggregate the sequence into a single classification vector, we apply global max pooling over the sequence dimension:</w:t>
      </w:r>
    </w:p>
    <w:p>
      <w:pPr>
        <w:spacing w:before="80" w:after="80"/>
        <w:jc w:val="center"/>
      </w:pPr>
      <w:r>
        <w:rPr>
          <w:rFonts w:ascii="Times New Roman" w:hAnsi="Times New Roman"/>
          <w:b w:val="0"/>
          <w:i/>
          <w:color w:val="000000"/>
          <w:sz w:val="20"/>
        </w:rPr>
        <w:t>Z_j = max_(1 ≤ t ≤ L) Y_(j, t, :) ∈ ℝ^(2D_lstm)</w:t>
        <w:tab/>
        <w:tab/>
      </w:r>
      <w:r>
        <w:rPr>
          <w:rFonts w:ascii="Times New Roman" w:hAnsi="Times New Roman"/>
          <w:b w:val="0"/>
          <w:i w:val="0"/>
          <w:color w:val="000000"/>
          <w:sz w:val="20"/>
        </w:rPr>
        <w:t>(6)</w:t>
      </w:r>
    </w:p>
    <w:p>
      <w:pPr>
        <w:spacing w:line="240" w:lineRule="auto" w:after="60"/>
        <w:ind w:firstLine="216"/>
        <w:jc w:val="both"/>
      </w:pPr>
      <w:r>
        <w:rPr>
          <w:rFonts w:ascii="Times New Roman" w:hAnsi="Times New Roman"/>
          <w:b w:val="0"/>
          <w:i w:val="0"/>
          <w:color w:val="000000"/>
          <w:sz w:val="20"/>
        </w:rPr>
        <w:t>Finally, the pooled representation Z is passed through a dense feedforward network with dropout regularization to output the raw class logits:</w:t>
      </w:r>
    </w:p>
    <w:p>
      <w:pPr>
        <w:spacing w:before="80" w:after="80"/>
        <w:jc w:val="center"/>
      </w:pPr>
      <w:r>
        <w:rPr>
          <w:rFonts w:ascii="Times New Roman" w:hAnsi="Times New Roman"/>
          <w:b w:val="0"/>
          <w:i/>
          <w:color w:val="000000"/>
          <w:sz w:val="20"/>
        </w:rPr>
        <w:t>ŷ = Linear(ReLU(Dropout(Linear(Z))))</w:t>
        <w:tab/>
        <w:tab/>
      </w:r>
      <w:r>
        <w:rPr>
          <w:rFonts w:ascii="Times New Roman" w:hAnsi="Times New Roman"/>
          <w:b w:val="0"/>
          <w:i w:val="0"/>
          <w:color w:val="000000"/>
          <w:sz w:val="20"/>
        </w:rPr>
        <w:t>(7)</w:t>
      </w:r>
    </w:p>
    <w:p>
      <w:pPr>
        <w:spacing w:line="240" w:lineRule="auto" w:after="60"/>
        <w:ind w:firstLine="216"/>
        <w:jc w:val="both"/>
      </w:pPr>
      <w:r>
        <w:rPr>
          <w:rFonts w:ascii="Times New Roman" w:hAnsi="Times New Roman"/>
          <w:b w:val="0"/>
          <w:i w:val="0"/>
          <w:color w:val="000000"/>
          <w:sz w:val="20"/>
        </w:rPr>
        <w:t>The model is optimized using binary cross-entropy with a positive class weight (w_pos) to adjust gradients for the minority class:</w:t>
      </w:r>
    </w:p>
    <w:p>
      <w:pPr>
        <w:spacing w:before="80" w:after="80"/>
        <w:jc w:val="center"/>
      </w:pPr>
      <w:r>
        <w:rPr>
          <w:rFonts w:ascii="Times New Roman" w:hAnsi="Times New Roman"/>
          <w:b w:val="0"/>
          <w:i/>
          <w:color w:val="000000"/>
          <w:sz w:val="20"/>
        </w:rPr>
        <w:t>L = - [ w_pos × y log(σ(ŷ)) + (1 - y) log(1 - σ(ŷ)) ]</w:t>
        <w:tab/>
        <w:tab/>
      </w:r>
      <w:r>
        <w:rPr>
          <w:rFonts w:ascii="Times New Roman" w:hAnsi="Times New Roman"/>
          <w:b w:val="0"/>
          <w:i w:val="0"/>
          <w:color w:val="000000"/>
          <w:sz w:val="20"/>
        </w:rPr>
        <w:t>(8)</w:t>
      </w:r>
    </w:p>
    <w:p>
      <w:pPr>
        <w:spacing w:line="240" w:lineRule="auto" w:after="60"/>
        <w:ind w:firstLine="216"/>
        <w:jc w:val="both"/>
      </w:pPr>
      <w:r>
        <w:rPr>
          <w:rFonts w:ascii="Times New Roman" w:hAnsi="Times New Roman"/>
          <w:b w:val="0"/>
          <w:i w:val="0"/>
          <w:color w:val="000000"/>
          <w:sz w:val="20"/>
        </w:rPr>
        <w:t>where σ is the sigmoid activation function and y represents the ground truth label. By keeping the BERT backbone frozen, we restrict the trainable parameters to only the recurrent and dense layers (1.34 Million), which reduces the VRAM requirement to under 0.5GB, preventing catastrophic forgetting and enabling VRAM-efficient CPU/GPU training.</w:t>
      </w:r>
    </w:p>
    <w:p>
      <w:pPr>
        <w:keepNext/>
        <w:spacing w:before="120" w:after="40"/>
        <w:jc w:val="left"/>
      </w:pPr>
      <w:r>
        <w:rPr>
          <w:rFonts w:ascii="Times New Roman" w:hAnsi="Times New Roman"/>
          <w:b w:val="0"/>
          <w:i/>
          <w:color w:val="000000"/>
          <w:sz w:val="20"/>
        </w:rPr>
        <w:t>D. Explainable AI (XAI) using SHAP Values</w:t>
      </w:r>
    </w:p>
    <w:p>
      <w:pPr>
        <w:spacing w:line="240" w:lineRule="auto" w:after="60"/>
        <w:ind w:firstLine="216"/>
        <w:jc w:val="both"/>
      </w:pPr>
      <w:r>
        <w:rPr>
          <w:rFonts w:ascii="Times New Roman" w:hAnsi="Times New Roman"/>
          <w:b w:val="0"/>
          <w:i w:val="0"/>
          <w:color w:val="000000"/>
          <w:sz w:val="20"/>
        </w:rPr>
        <w:t>To demystify the black-box decisions of our deep neural network, we utilize SHapley Additive exPlanations (SHAP) instead of raw self-attention weights. SHAP assigns each input token an attribution score representing its marginal contribution to the classification probability. The Shapley value for a token i is defined as:</w:t>
      </w:r>
    </w:p>
    <w:p>
      <w:pPr>
        <w:spacing w:before="80" w:after="80"/>
        <w:jc w:val="center"/>
      </w:pPr>
      <w:r>
        <w:rPr>
          <w:rFonts w:ascii="Times New Roman" w:hAnsi="Times New Roman"/>
          <w:b w:val="0"/>
          <w:i/>
          <w:color w:val="000000"/>
          <w:sz w:val="20"/>
        </w:rPr>
        <w:t>φ_i = ∑_(S ⊆ F \ {i}) (|S|! (|F| - |S| - 1)!) / |F|! [ f_x(S ∪ {i}) - f_x(S) ]</w:t>
        <w:tab/>
        <w:tab/>
      </w:r>
      <w:r>
        <w:rPr>
          <w:rFonts w:ascii="Times New Roman" w:hAnsi="Times New Roman"/>
          <w:b w:val="0"/>
          <w:i w:val="0"/>
          <w:color w:val="000000"/>
          <w:sz w:val="20"/>
        </w:rPr>
        <w:t>(9)</w:t>
      </w:r>
    </w:p>
    <w:p>
      <w:pPr>
        <w:spacing w:line="240" w:lineRule="auto" w:after="60"/>
        <w:ind w:firstLine="216"/>
        <w:jc w:val="both"/>
      </w:pPr>
      <w:r>
        <w:rPr>
          <w:rFonts w:ascii="Times New Roman" w:hAnsi="Times New Roman"/>
          <w:b w:val="0"/>
          <w:i w:val="0"/>
          <w:color w:val="000000"/>
          <w:sz w:val="20"/>
        </w:rPr>
        <w:t>where F is the set of all features (tokens), S is a subset of features excluding token i, and f_x(S) is the model output conditioned on S. By calculating the mean SHAP values across test listings, we separate the text into attributions that strongly shift the probability toward the Fraudulent class (positive SHAP scores) or toward the Genuine class (negative SHAP scores). Figure 2 visualizes the top attributions.</w:t>
      </w:r>
    </w:p>
    <w:p>
      <w:pPr>
        <w:spacing w:before="120" w:after="40"/>
        <w:jc w:val="center"/>
      </w:pPr>
      <w:r>
        <w:drawing>
          <wp:inline xmlns:a="http://schemas.openxmlformats.org/drawingml/2006/main" xmlns:pic="http://schemas.openxmlformats.org/drawingml/2006/picture">
            <wp:extent cx="2651760" cy="165735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0"/>
                    <a:stretch>
                      <a:fillRect/>
                    </a:stretch>
                  </pic:blipFill>
                  <pic:spPr>
                    <a:xfrm>
                      <a:off x="0" y="0"/>
                      <a:ext cx="2651760" cy="1657350"/>
                    </a:xfrm>
                    <a:prstGeom prst="rect"/>
                  </pic:spPr>
                </pic:pic>
              </a:graphicData>
            </a:graphic>
          </wp:inline>
        </w:drawing>
      </w:r>
    </w:p>
    <w:p>
      <w:pPr>
        <w:spacing w:after="120"/>
        <w:jc w:val="center"/>
      </w:pPr>
      <w:r>
        <w:rPr>
          <w:rFonts w:ascii="Times New Roman" w:hAnsi="Times New Roman"/>
          <w:b w:val="0"/>
          <w:i w:val="0"/>
          <w:color w:val="000000"/>
          <w:sz w:val="16"/>
        </w:rPr>
        <w:t>Fig. 2. Mean SHAP Values of top-10 fraud and top-10 genuine text indicators.</w:t>
      </w:r>
    </w:p>
    <w:p>
      <w:pPr>
        <w:keepNext/>
        <w:spacing w:before="200" w:after="80"/>
        <w:jc w:val="center"/>
      </w:pPr>
      <w:r>
        <w:rPr>
          <w:rFonts w:ascii="Times New Roman" w:hAnsi="Times New Roman"/>
          <w:b/>
          <w:i w:val="0"/>
          <w:color w:val="000000"/>
          <w:sz w:val="20"/>
        </w:rPr>
        <w:t>IV.  EXPERIMENTAL SETUP</w:t>
      </w:r>
    </w:p>
    <w:p>
      <w:pPr>
        <w:keepNext/>
        <w:spacing w:before="120" w:after="40"/>
        <w:jc w:val="left"/>
      </w:pPr>
      <w:r>
        <w:rPr>
          <w:rFonts w:ascii="Times New Roman" w:hAnsi="Times New Roman"/>
          <w:b w:val="0"/>
          <w:i/>
          <w:color w:val="000000"/>
          <w:sz w:val="20"/>
        </w:rPr>
        <w:t>A. Dataset Description</w:t>
      </w:r>
    </w:p>
    <w:p>
      <w:pPr>
        <w:spacing w:line="240" w:lineRule="auto" w:after="60"/>
        <w:ind w:firstLine="216"/>
        <w:jc w:val="both"/>
      </w:pPr>
      <w:r>
        <w:rPr>
          <w:rFonts w:ascii="Times New Roman" w:hAnsi="Times New Roman"/>
          <w:b w:val="0"/>
          <w:i w:val="0"/>
          <w:color w:val="000000"/>
          <w:sz w:val="20"/>
        </w:rPr>
        <w:t>The model is validated using the Kaggle Real/Fake Job Posting Prediction dataset (EMSCAD). The dataset consists of 17,880 observations. It contains a significant class imbalance, containing 17,014 genuine posts (95.16%) and only 866 fraudulent posts (4.84%). This highly skewed distribution represents a realistic recruitment scenario where fraud is a needle in a haystack.</w:t>
      </w:r>
    </w:p>
    <w:p>
      <w:pPr>
        <w:keepNext/>
        <w:spacing w:before="120" w:after="40"/>
        <w:jc w:val="left"/>
      </w:pPr>
      <w:r>
        <w:rPr>
          <w:rFonts w:ascii="Times New Roman" w:hAnsi="Times New Roman"/>
          <w:b w:val="0"/>
          <w:i/>
          <w:color w:val="000000"/>
          <w:sz w:val="20"/>
        </w:rPr>
        <w:t>B. Evaluation Splits and Settings</w:t>
      </w:r>
    </w:p>
    <w:p>
      <w:pPr>
        <w:spacing w:line="240" w:lineRule="auto" w:after="60"/>
        <w:ind w:firstLine="216"/>
        <w:jc w:val="both"/>
      </w:pPr>
      <w:r>
        <w:rPr>
          <w:rFonts w:ascii="Times New Roman" w:hAnsi="Times New Roman"/>
          <w:b w:val="0"/>
          <w:i w:val="0"/>
          <w:color w:val="000000"/>
          <w:sz w:val="20"/>
        </w:rPr>
        <w:t>The dataset is split into training (70%), validation (10%), and test (20%) sets using stratified sampling to maintain the class distribution across all splits. Training is performed on a local NVIDIA GeForce RTX 2050 GPU (4GB VRAM) running PyTorch 2.13 and Transformers 5.14. The maximum sequence length is set to 256 tokens. We train the baseline ML models on CPU using Scikit-Learn. For deep learning models, we use a batch size of 32 and train the transformer models for 3 epochs with Adam optimizer. The baseline LSTM is trained for 5 epochs.</w:t>
      </w:r>
    </w:p>
    <w:p>
      <w:pPr>
        <w:keepNext/>
        <w:spacing w:before="120" w:after="40"/>
        <w:jc w:val="left"/>
      </w:pPr>
      <w:r>
        <w:rPr>
          <w:rFonts w:ascii="Times New Roman" w:hAnsi="Times New Roman"/>
          <w:b w:val="0"/>
          <w:i/>
          <w:color w:val="000000"/>
          <w:sz w:val="20"/>
        </w:rPr>
        <w:t>C. Baseline Models</w:t>
      </w:r>
    </w:p>
    <w:p>
      <w:pPr>
        <w:spacing w:line="240" w:lineRule="auto" w:after="60"/>
        <w:ind w:firstLine="216"/>
        <w:jc w:val="both"/>
      </w:pPr>
      <w:r>
        <w:rPr>
          <w:rFonts w:ascii="Times New Roman" w:hAnsi="Times New Roman"/>
          <w:b w:val="0"/>
          <w:i w:val="0"/>
          <w:color w:val="000000"/>
          <w:sz w:val="20"/>
        </w:rPr>
        <w:t xml:space="preserve">The proposed hybrid architecture is benchmarked against the following configurations: (1) </w:t>
      </w:r>
      <w:r>
        <w:rPr>
          <w:rFonts w:ascii="Times New Roman" w:hAnsi="Times New Roman"/>
          <w:b/>
          <w:i w:val="0"/>
          <w:color w:val="000000"/>
          <w:sz w:val="20"/>
        </w:rPr>
        <w:t>Logistic Regression (TF-IDF)</w:t>
      </w:r>
      <w:r>
        <w:rPr>
          <w:rFonts w:ascii="Times New Roman" w:hAnsi="Times New Roman"/>
          <w:b w:val="0"/>
          <w:i w:val="0"/>
          <w:color w:val="000000"/>
          <w:sz w:val="20"/>
        </w:rPr>
        <w:t xml:space="preserve">: Classical linear model trained on TF-IDF features with max 5,000 features. (2) </w:t>
      </w:r>
      <w:r>
        <w:rPr>
          <w:rFonts w:ascii="Times New Roman" w:hAnsi="Times New Roman"/>
          <w:b/>
          <w:i w:val="0"/>
          <w:color w:val="000000"/>
          <w:sz w:val="20"/>
        </w:rPr>
        <w:t>Random Forest (TF-IDF)</w:t>
      </w:r>
      <w:r>
        <w:rPr>
          <w:rFonts w:ascii="Times New Roman" w:hAnsi="Times New Roman"/>
          <w:b w:val="0"/>
          <w:i w:val="0"/>
          <w:color w:val="000000"/>
          <w:sz w:val="20"/>
        </w:rPr>
        <w:t xml:space="preserve">: Ensemble classifier trained on TF-IDF features with 100 estimators. (3) </w:t>
      </w:r>
      <w:r>
        <w:rPr>
          <w:rFonts w:ascii="Times New Roman" w:hAnsi="Times New Roman"/>
          <w:b/>
          <w:i w:val="0"/>
          <w:color w:val="000000"/>
          <w:sz w:val="20"/>
        </w:rPr>
        <w:t>Standard Bi-LSTM</w:t>
      </w:r>
      <w:r>
        <w:rPr>
          <w:rFonts w:ascii="Times New Roman" w:hAnsi="Times New Roman"/>
          <w:b w:val="0"/>
          <w:i w:val="0"/>
          <w:color w:val="000000"/>
          <w:sz w:val="20"/>
        </w:rPr>
        <w:t xml:space="preserve">: A PyTorch Bi-LSTM using an end-to-end trained word embedding layer of dimension 100. (4) </w:t>
      </w:r>
      <w:r>
        <w:rPr>
          <w:rFonts w:ascii="Times New Roman" w:hAnsi="Times New Roman"/>
          <w:b/>
          <w:i w:val="0"/>
          <w:color w:val="000000"/>
          <w:sz w:val="20"/>
        </w:rPr>
        <w:t>Standalone BERT Classifier</w:t>
      </w:r>
      <w:r>
        <w:rPr>
          <w:rFonts w:ascii="Times New Roman" w:hAnsi="Times New Roman"/>
          <w:b w:val="0"/>
          <w:i w:val="0"/>
          <w:color w:val="000000"/>
          <w:sz w:val="20"/>
        </w:rPr>
        <w:t xml:space="preserve">: A fine-tuned BERT-base model mapping the final [CLS] representation directly to a single logit. (5) </w:t>
      </w:r>
      <w:r>
        <w:rPr>
          <w:rFonts w:ascii="Times New Roman" w:hAnsi="Times New Roman"/>
          <w:b/>
          <w:i w:val="0"/>
          <w:color w:val="000000"/>
          <w:sz w:val="20"/>
        </w:rPr>
        <w:t>Standalone RoBERTa Classifier</w:t>
      </w:r>
      <w:r>
        <w:rPr>
          <w:rFonts w:ascii="Times New Roman" w:hAnsi="Times New Roman"/>
          <w:b w:val="0"/>
          <w:i w:val="0"/>
          <w:color w:val="000000"/>
          <w:sz w:val="20"/>
        </w:rPr>
        <w:t>: A standalone RoBERTa-base model mapping the final representation to a single classification logit.</w:t>
      </w:r>
    </w:p>
    <w:p>
      <w:pPr>
        <w:keepNext/>
        <w:spacing w:before="200" w:after="80"/>
        <w:jc w:val="center"/>
      </w:pPr>
      <w:r>
        <w:rPr>
          <w:rFonts w:ascii="Times New Roman" w:hAnsi="Times New Roman"/>
          <w:b/>
          <w:i w:val="0"/>
          <w:color w:val="000000"/>
          <w:sz w:val="20"/>
        </w:rPr>
        <w:t>V.  RESULTS AND DISCUSSION</w:t>
      </w:r>
    </w:p>
    <w:p>
      <w:pPr>
        <w:keepNext/>
        <w:spacing w:before="120" w:after="40"/>
        <w:jc w:val="left"/>
      </w:pPr>
      <w:r>
        <w:rPr>
          <w:rFonts w:ascii="Times New Roman" w:hAnsi="Times New Roman"/>
          <w:b w:val="0"/>
          <w:i/>
          <w:color w:val="000000"/>
          <w:sz w:val="20"/>
        </w:rPr>
        <w:t>A. Quantitative Results</w:t>
      </w:r>
    </w:p>
    <w:p>
      <w:pPr>
        <w:spacing w:line="240" w:lineRule="auto" w:after="60"/>
        <w:ind w:firstLine="216"/>
        <w:jc w:val="both"/>
      </w:pPr>
      <w:r>
        <w:rPr>
          <w:rFonts w:ascii="Times New Roman" w:hAnsi="Times New Roman"/>
          <w:b w:val="0"/>
          <w:i w:val="0"/>
          <w:color w:val="000000"/>
          <w:sz w:val="20"/>
        </w:rPr>
        <w:t>The models were evaluated on the test set using standard classification metrics: Accuracy (Acc), Precision (Prec), Recall (Rec), F1-score (F1), and Area Under the ROC Curve (ROC-AUC).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Acc</w:t>
            </w:r>
          </w:p>
        </w:tc>
        <w:tc>
          <w:tcPr>
            <w:tcW w:type="dxa" w:w="1740"/>
          </w:tcPr>
          <w:p>
            <w:pPr>
              <w:jc w:val="center"/>
            </w:pPr>
            <w:r>
              <w:rPr>
                <w:rFonts w:ascii="Times New Roman" w:hAnsi="Times New Roman"/>
                <w:b/>
                <w:i w:val="0"/>
                <w:color w:val="000000"/>
                <w:sz w:val="18"/>
              </w:rPr>
              <w:t>Prec</w:t>
            </w:r>
          </w:p>
        </w:tc>
        <w:tc>
          <w:tcPr>
            <w:tcW w:type="dxa" w:w="1740"/>
          </w:tcPr>
          <w:p>
            <w:pPr>
              <w:jc w:val="center"/>
            </w:pPr>
            <w:r>
              <w:rPr>
                <w:rFonts w:ascii="Times New Roman" w:hAnsi="Times New Roman"/>
                <w:b/>
                <w:i w:val="0"/>
                <w:color w:val="000000"/>
                <w:sz w:val="18"/>
              </w:rPr>
              <w:t>Rec</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96.98%</w:t>
            </w:r>
          </w:p>
        </w:tc>
        <w:tc>
          <w:tcPr>
            <w:tcW w:type="dxa" w:w="1740"/>
          </w:tcPr>
          <w:p>
            <w:pPr>
              <w:jc w:val="center"/>
            </w:pPr>
            <w:r>
              <w:rPr>
                <w:rFonts w:ascii="Times New Roman" w:hAnsi="Times New Roman"/>
                <w:b w:val="0"/>
                <w:i w:val="0"/>
                <w:color w:val="000000"/>
                <w:sz w:val="18"/>
              </w:rPr>
              <w:t>63.60%</w:t>
            </w:r>
          </w:p>
        </w:tc>
        <w:tc>
          <w:tcPr>
            <w:tcW w:type="dxa" w:w="1740"/>
          </w:tcPr>
          <w:p>
            <w:pPr>
              <w:jc w:val="center"/>
            </w:pPr>
            <w:r>
              <w:rPr>
                <w:rFonts w:ascii="Times New Roman" w:hAnsi="Times New Roman"/>
                <w:b w:val="0"/>
                <w:i w:val="0"/>
                <w:color w:val="000000"/>
                <w:sz w:val="18"/>
              </w:rPr>
              <w:t>87.86%</w:t>
            </w:r>
          </w:p>
        </w:tc>
        <w:tc>
          <w:tcPr>
            <w:tcW w:type="dxa" w:w="1740"/>
          </w:tcPr>
          <w:p>
            <w:pPr>
              <w:jc w:val="center"/>
            </w:pPr>
            <w:r>
              <w:rPr>
                <w:rFonts w:ascii="Times New Roman" w:hAnsi="Times New Roman"/>
                <w:b w:val="0"/>
                <w:i w:val="0"/>
                <w:color w:val="000000"/>
                <w:sz w:val="18"/>
              </w:rPr>
              <w:t>73.79%</w:t>
            </w:r>
          </w:p>
        </w:tc>
        <w:tc>
          <w:tcPr>
            <w:tcW w:type="dxa" w:w="1740"/>
          </w:tcPr>
          <w:p>
            <w:pPr>
              <w:jc w:val="center"/>
            </w:pPr>
            <w:r>
              <w:rPr>
                <w:rFonts w:ascii="Times New Roman" w:hAnsi="Times New Roman"/>
                <w:b w:val="0"/>
                <w:i w:val="0"/>
                <w:color w:val="000000"/>
                <w:sz w:val="18"/>
              </w:rPr>
              <w:t>98.60%</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97.76%</w:t>
            </w:r>
          </w:p>
        </w:tc>
        <w:tc>
          <w:tcPr>
            <w:tcW w:type="dxa" w:w="1740"/>
          </w:tcPr>
          <w:p>
            <w:pPr>
              <w:jc w:val="center"/>
            </w:pPr>
            <w:r>
              <w:rPr>
                <w:rFonts w:ascii="Times New Roman" w:hAnsi="Times New Roman"/>
                <w:b w:val="0"/>
                <w:i w:val="0"/>
                <w:color w:val="000000"/>
                <w:sz w:val="18"/>
              </w:rPr>
              <w:t>98.95%</w:t>
            </w:r>
          </w:p>
        </w:tc>
        <w:tc>
          <w:tcPr>
            <w:tcW w:type="dxa" w:w="1740"/>
          </w:tcPr>
          <w:p>
            <w:pPr>
              <w:jc w:val="center"/>
            </w:pPr>
            <w:r>
              <w:rPr>
                <w:rFonts w:ascii="Times New Roman" w:hAnsi="Times New Roman"/>
                <w:b w:val="0"/>
                <w:i w:val="0"/>
                <w:color w:val="000000"/>
                <w:sz w:val="18"/>
              </w:rPr>
              <w:t>54.34%</w:t>
            </w:r>
          </w:p>
        </w:tc>
        <w:tc>
          <w:tcPr>
            <w:tcW w:type="dxa" w:w="1740"/>
          </w:tcPr>
          <w:p>
            <w:pPr>
              <w:jc w:val="center"/>
            </w:pPr>
            <w:r>
              <w:rPr>
                <w:rFonts w:ascii="Times New Roman" w:hAnsi="Times New Roman"/>
                <w:b w:val="0"/>
                <w:i w:val="0"/>
                <w:color w:val="000000"/>
                <w:sz w:val="18"/>
              </w:rPr>
              <w:t>70.15%</w:t>
            </w:r>
          </w:p>
        </w:tc>
        <w:tc>
          <w:tcPr>
            <w:tcW w:type="dxa" w:w="1740"/>
          </w:tcPr>
          <w:p>
            <w:pPr>
              <w:jc w:val="center"/>
            </w:pPr>
            <w:r>
              <w:rPr>
                <w:rFonts w:ascii="Times New Roman" w:hAnsi="Times New Roman"/>
                <w:b w:val="0"/>
                <w:i w:val="0"/>
                <w:color w:val="000000"/>
                <w:sz w:val="18"/>
              </w:rPr>
              <w:t>98.31%</w:t>
            </w:r>
          </w:p>
        </w:tc>
      </w:tr>
      <w:tr>
        <w:tc>
          <w:tcPr>
            <w:tcW w:type="dxa" w:w="1740"/>
          </w:tcPr>
          <w:p>
            <w:pPr>
              <w:jc w:val="left"/>
            </w:pPr>
            <w:r>
              <w:rPr>
                <w:rFonts w:ascii="Times New Roman" w:hAnsi="Times New Roman"/>
                <w:b w:val="0"/>
                <w:i w:val="0"/>
                <w:color w:val="000000"/>
                <w:sz w:val="18"/>
              </w:rPr>
              <w:t>Standard Bi-LSTM</w:t>
            </w:r>
          </w:p>
        </w:tc>
        <w:tc>
          <w:tcPr>
            <w:tcW w:type="dxa" w:w="1740"/>
          </w:tcPr>
          <w:p>
            <w:pPr>
              <w:jc w:val="center"/>
            </w:pPr>
            <w:r>
              <w:rPr>
                <w:rFonts w:ascii="Times New Roman" w:hAnsi="Times New Roman"/>
                <w:b w:val="0"/>
                <w:i w:val="0"/>
                <w:color w:val="000000"/>
                <w:sz w:val="18"/>
              </w:rPr>
              <w:t>98.12%</w:t>
            </w:r>
          </w:p>
        </w:tc>
        <w:tc>
          <w:tcPr>
            <w:tcW w:type="dxa" w:w="1740"/>
          </w:tcPr>
          <w:p>
            <w:pPr>
              <w:jc w:val="center"/>
            </w:pPr>
            <w:r>
              <w:rPr>
                <w:rFonts w:ascii="Times New Roman" w:hAnsi="Times New Roman"/>
                <w:b w:val="0"/>
                <w:i w:val="0"/>
                <w:color w:val="000000"/>
                <w:sz w:val="18"/>
              </w:rPr>
              <w:t>79.45%</w:t>
            </w:r>
          </w:p>
        </w:tc>
        <w:tc>
          <w:tcPr>
            <w:tcW w:type="dxa" w:w="1740"/>
          </w:tcPr>
          <w:p>
            <w:pPr>
              <w:jc w:val="center"/>
            </w:pPr>
            <w:r>
              <w:rPr>
                <w:rFonts w:ascii="Times New Roman" w:hAnsi="Times New Roman"/>
                <w:b w:val="0"/>
                <w:i w:val="0"/>
                <w:color w:val="000000"/>
                <w:sz w:val="18"/>
              </w:rPr>
              <w:t>81.50%</w:t>
            </w:r>
          </w:p>
        </w:tc>
        <w:tc>
          <w:tcPr>
            <w:tcW w:type="dxa" w:w="1740"/>
          </w:tcPr>
          <w:p>
            <w:pPr>
              <w:jc w:val="center"/>
            </w:pPr>
            <w:r>
              <w:rPr>
                <w:rFonts w:ascii="Times New Roman" w:hAnsi="Times New Roman"/>
                <w:b w:val="0"/>
                <w:i w:val="0"/>
                <w:color w:val="000000"/>
                <w:sz w:val="18"/>
              </w:rPr>
              <w:t>80.46%</w:t>
            </w:r>
          </w:p>
        </w:tc>
        <w:tc>
          <w:tcPr>
            <w:tcW w:type="dxa" w:w="1740"/>
          </w:tcPr>
          <w:p>
            <w:pPr>
              <w:jc w:val="center"/>
            </w:pPr>
            <w:r>
              <w:rPr>
                <w:rFonts w:ascii="Times New Roman" w:hAnsi="Times New Roman"/>
                <w:b w:val="0"/>
                <w:i w:val="0"/>
                <w:color w:val="000000"/>
                <w:sz w:val="18"/>
              </w:rPr>
              <w:t>97.20%</w:t>
            </w:r>
          </w:p>
        </w:tc>
      </w:tr>
      <w:tr>
        <w:tc>
          <w:tcPr>
            <w:tcW w:type="dxa" w:w="1740"/>
          </w:tcPr>
          <w:p>
            <w:pPr>
              <w:jc w:val="left"/>
            </w:pPr>
            <w:r>
              <w:rPr>
                <w:rFonts w:ascii="Times New Roman" w:hAnsi="Times New Roman"/>
                <w:b w:val="0"/>
                <w:i w:val="0"/>
                <w:color w:val="000000"/>
                <w:sz w:val="18"/>
              </w:rPr>
              <w:t>Standalone BERT (GJU-CSE Baseline)</w:t>
            </w:r>
          </w:p>
        </w:tc>
        <w:tc>
          <w:tcPr>
            <w:tcW w:type="dxa" w:w="1740"/>
          </w:tcPr>
          <w:p>
            <w:pPr>
              <w:jc w:val="center"/>
            </w:pPr>
            <w:r>
              <w:rPr>
                <w:rFonts w:ascii="Times New Roman" w:hAnsi="Times New Roman"/>
                <w:b w:val="0"/>
                <w:i w:val="0"/>
                <w:color w:val="000000"/>
                <w:sz w:val="18"/>
              </w:rPr>
              <w:t>98.68%</w:t>
            </w:r>
          </w:p>
        </w:tc>
        <w:tc>
          <w:tcPr>
            <w:tcW w:type="dxa" w:w="1740"/>
          </w:tcPr>
          <w:p>
            <w:pPr>
              <w:jc w:val="center"/>
            </w:pPr>
            <w:r>
              <w:rPr>
                <w:rFonts w:ascii="Times New Roman" w:hAnsi="Times New Roman"/>
                <w:b w:val="0"/>
                <w:i w:val="0"/>
                <w:color w:val="000000"/>
                <w:sz w:val="18"/>
              </w:rPr>
              <w:t>84.50%</w:t>
            </w:r>
          </w:p>
        </w:tc>
        <w:tc>
          <w:tcPr>
            <w:tcW w:type="dxa" w:w="1740"/>
          </w:tcPr>
          <w:p>
            <w:pPr>
              <w:jc w:val="center"/>
            </w:pPr>
            <w:r>
              <w:rPr>
                <w:rFonts w:ascii="Times New Roman" w:hAnsi="Times New Roman"/>
                <w:b w:val="0"/>
                <w:i w:val="0"/>
                <w:color w:val="000000"/>
                <w:sz w:val="18"/>
              </w:rPr>
              <w:t>88.40%</w:t>
            </w:r>
          </w:p>
        </w:tc>
        <w:tc>
          <w:tcPr>
            <w:tcW w:type="dxa" w:w="1740"/>
          </w:tcPr>
          <w:p>
            <w:pPr>
              <w:jc w:val="center"/>
            </w:pPr>
            <w:r>
              <w:rPr>
                <w:rFonts w:ascii="Times New Roman" w:hAnsi="Times New Roman"/>
                <w:b w:val="0"/>
                <w:i w:val="0"/>
                <w:color w:val="000000"/>
                <w:sz w:val="18"/>
              </w:rPr>
              <w:t>86.41%</w:t>
            </w:r>
          </w:p>
        </w:tc>
        <w:tc>
          <w:tcPr>
            <w:tcW w:type="dxa" w:w="1740"/>
          </w:tcPr>
          <w:p>
            <w:pPr>
              <w:jc w:val="center"/>
            </w:pPr>
            <w:r>
              <w:rPr>
                <w:rFonts w:ascii="Times New Roman" w:hAnsi="Times New Roman"/>
                <w:b w:val="0"/>
                <w:i w:val="0"/>
                <w:color w:val="000000"/>
                <w:sz w:val="18"/>
              </w:rPr>
              <w:t>98.60%</w:t>
            </w:r>
          </w:p>
        </w:tc>
      </w:tr>
      <w:tr>
        <w:tc>
          <w:tcPr>
            <w:tcW w:type="dxa" w:w="1740"/>
          </w:tcPr>
          <w:p>
            <w:pPr>
              <w:jc w:val="left"/>
            </w:pPr>
            <w:r>
              <w:rPr>
                <w:rFonts w:ascii="Times New Roman" w:hAnsi="Times New Roman"/>
                <w:b w:val="0"/>
                <w:i w:val="0"/>
                <w:color w:val="000000"/>
                <w:sz w:val="18"/>
              </w:rPr>
              <w:t>Standalone RoBERTa</w:t>
            </w:r>
          </w:p>
        </w:tc>
        <w:tc>
          <w:tcPr>
            <w:tcW w:type="dxa" w:w="1740"/>
          </w:tcPr>
          <w:p>
            <w:pPr>
              <w:jc w:val="center"/>
            </w:pPr>
            <w:r>
              <w:rPr>
                <w:rFonts w:ascii="Times New Roman" w:hAnsi="Times New Roman"/>
                <w:b w:val="0"/>
                <w:i w:val="0"/>
                <w:color w:val="000000"/>
                <w:sz w:val="18"/>
              </w:rPr>
              <w:t>98.85%</w:t>
            </w:r>
          </w:p>
        </w:tc>
        <w:tc>
          <w:tcPr>
            <w:tcW w:type="dxa" w:w="1740"/>
          </w:tcPr>
          <w:p>
            <w:pPr>
              <w:jc w:val="center"/>
            </w:pPr>
            <w:r>
              <w:rPr>
                <w:rFonts w:ascii="Times New Roman" w:hAnsi="Times New Roman"/>
                <w:b w:val="0"/>
                <w:i w:val="0"/>
                <w:color w:val="000000"/>
                <w:sz w:val="18"/>
              </w:rPr>
              <w:t>86.40%</w:t>
            </w:r>
          </w:p>
        </w:tc>
        <w:tc>
          <w:tcPr>
            <w:tcW w:type="dxa" w:w="1740"/>
          </w:tcPr>
          <w:p>
            <w:pPr>
              <w:jc w:val="center"/>
            </w:pPr>
            <w:r>
              <w:rPr>
                <w:rFonts w:ascii="Times New Roman" w:hAnsi="Times New Roman"/>
                <w:b w:val="0"/>
                <w:i w:val="0"/>
                <w:color w:val="000000"/>
                <w:sz w:val="18"/>
              </w:rPr>
              <w:t>90.20%</w:t>
            </w:r>
          </w:p>
        </w:tc>
        <w:tc>
          <w:tcPr>
            <w:tcW w:type="dxa" w:w="1740"/>
          </w:tcPr>
          <w:p>
            <w:pPr>
              <w:jc w:val="center"/>
            </w:pPr>
            <w:r>
              <w:rPr>
                <w:rFonts w:ascii="Times New Roman" w:hAnsi="Times New Roman"/>
                <w:b w:val="0"/>
                <w:i w:val="0"/>
                <w:color w:val="000000"/>
                <w:sz w:val="18"/>
              </w:rPr>
              <w:t>88.26%</w:t>
            </w:r>
          </w:p>
        </w:tc>
        <w:tc>
          <w:tcPr>
            <w:tcW w:type="dxa" w:w="1740"/>
          </w:tcPr>
          <w:p>
            <w:pPr>
              <w:jc w:val="center"/>
            </w:pPr>
            <w:r>
              <w:rPr>
                <w:rFonts w:ascii="Times New Roman" w:hAnsi="Times New Roman"/>
                <w:b w:val="0"/>
                <w:i w:val="0"/>
                <w:color w:val="000000"/>
                <w:sz w:val="18"/>
              </w:rPr>
              <w:t>98.90%</w:t>
            </w:r>
          </w:p>
        </w:tc>
      </w:tr>
      <w:tr>
        <w:tc>
          <w:tcPr>
            <w:tcW w:type="dxa" w:w="1740"/>
          </w:tcPr>
          <w:p>
            <w:pPr>
              <w:jc w:val="left"/>
            </w:pPr>
            <w:r>
              <w:rPr>
                <w:rFonts w:ascii="Times New Roman" w:hAnsi="Times New Roman"/>
                <w:b/>
                <w:i w:val="0"/>
                <w:color w:val="000000"/>
                <w:sz w:val="18"/>
              </w:rPr>
              <w:t>Proposed BERT-BiLSTM</w:t>
            </w:r>
          </w:p>
        </w:tc>
        <w:tc>
          <w:tcPr>
            <w:tcW w:type="dxa" w:w="1740"/>
          </w:tcPr>
          <w:p>
            <w:pPr>
              <w:jc w:val="center"/>
            </w:pPr>
            <w:r>
              <w:rPr>
                <w:rFonts w:ascii="Times New Roman" w:hAnsi="Times New Roman"/>
                <w:b/>
                <w:i w:val="0"/>
                <w:color w:val="000000"/>
                <w:sz w:val="18"/>
              </w:rPr>
              <w:t>99.10%</w:t>
            </w:r>
          </w:p>
        </w:tc>
        <w:tc>
          <w:tcPr>
            <w:tcW w:type="dxa" w:w="1740"/>
          </w:tcPr>
          <w:p>
            <w:pPr>
              <w:jc w:val="center"/>
            </w:pPr>
            <w:r>
              <w:rPr>
                <w:rFonts w:ascii="Times New Roman" w:hAnsi="Times New Roman"/>
                <w:b/>
                <w:i w:val="0"/>
                <w:color w:val="000000"/>
                <w:sz w:val="18"/>
              </w:rPr>
              <w:t>89.80%</w:t>
            </w:r>
          </w:p>
        </w:tc>
        <w:tc>
          <w:tcPr>
            <w:tcW w:type="dxa" w:w="1740"/>
          </w:tcPr>
          <w:p>
            <w:pPr>
              <w:jc w:val="center"/>
            </w:pPr>
            <w:r>
              <w:rPr>
                <w:rFonts w:ascii="Times New Roman" w:hAnsi="Times New Roman"/>
                <w:b/>
                <w:i w:val="0"/>
                <w:color w:val="000000"/>
                <w:sz w:val="18"/>
              </w:rPr>
              <w:t>94.20%</w:t>
            </w:r>
          </w:p>
        </w:tc>
        <w:tc>
          <w:tcPr>
            <w:tcW w:type="dxa" w:w="1740"/>
          </w:tcPr>
          <w:p>
            <w:pPr>
              <w:jc w:val="center"/>
            </w:pPr>
            <w:r>
              <w:rPr>
                <w:rFonts w:ascii="Times New Roman" w:hAnsi="Times New Roman"/>
                <w:b/>
                <w:i w:val="0"/>
                <w:color w:val="000000"/>
                <w:sz w:val="18"/>
              </w:rPr>
              <w:t>91.95%</w:t>
            </w:r>
          </w:p>
        </w:tc>
        <w:tc>
          <w:tcPr>
            <w:tcW w:type="dxa" w:w="1740"/>
          </w:tcPr>
          <w:p>
            <w:pPr>
              <w:jc w:val="center"/>
            </w:pPr>
            <w:r>
              <w:rPr>
                <w:rFonts w:ascii="Times New Roman" w:hAnsi="Times New Roman"/>
                <w:b/>
                <w:i w:val="0"/>
                <w:color w:val="000000"/>
                <w:sz w:val="18"/>
              </w:rPr>
              <w:t>99.25%</w:t>
            </w:r>
          </w:p>
        </w:tc>
      </w:tr>
    </w:tbl>
    <w:p>
      <w:pPr>
        <w:spacing w:before="80" w:after="160"/>
        <w:jc w:val="center"/>
      </w:pPr>
      <w:r>
        <w:rPr>
          <w:rFonts w:ascii="Times New Roman" w:hAnsi="Times New Roman"/>
          <w:b/>
          <w:i w:val="0"/>
          <w:color w:val="000000"/>
          <w:sz w:val="16"/>
        </w:rPr>
        <w:t>TABLE I. Model Performance Comparison on Test Set</w:t>
      </w:r>
    </w:p>
    <w:p>
      <w:pPr>
        <w:spacing w:line="240" w:lineRule="auto" w:after="60"/>
        <w:ind w:firstLine="216"/>
        <w:jc w:val="both"/>
      </w:pPr>
      <w:r>
        <w:rPr>
          <w:rFonts w:ascii="Times New Roman" w:hAnsi="Times New Roman"/>
          <w:b w:val="0"/>
          <w:i w:val="0"/>
          <w:color w:val="000000"/>
          <w:sz w:val="20"/>
        </w:rPr>
        <w:t>As shown in Table I, the traditional machine learning baselines show reasonable accuracy but suffer from low F1-scores. Specifically, Random Forest achieves an exceptional precision of 98.95% but a very low recall of 54.34%, meaning it misses nearly half of the fraudulent postings. Logistic Regression achieves a recall of 87.86% but suffers from a lower precision of 63.60% due to the class imbalance. The deep learning baseline (Standard Bi-LSTM) achieves an F1-score of 80.46%, showing the benefits of sequence modeling. Standalone BERT fine-tuning elevates this further, raising the F1-score to 86.41%. RoBERTa baseline reaches an F1-score of 88.26%.</w:t>
      </w:r>
    </w:p>
    <w:p>
      <w:pPr>
        <w:spacing w:line="240" w:lineRule="auto" w:after="60"/>
        <w:ind w:firstLine="216"/>
        <w:jc w:val="both"/>
      </w:pPr>
      <w:r>
        <w:rPr>
          <w:rFonts w:ascii="Times New Roman" w:hAnsi="Times New Roman"/>
          <w:b w:val="0"/>
          <w:i w:val="0"/>
          <w:color w:val="000000"/>
          <w:sz w:val="20"/>
        </w:rPr>
        <w:t xml:space="preserve">The proposed hybrid </w:t>
      </w:r>
      <w:r>
        <w:rPr>
          <w:rFonts w:ascii="Times New Roman" w:hAnsi="Times New Roman"/>
          <w:b/>
          <w:i w:val="0"/>
          <w:color w:val="000000"/>
          <w:sz w:val="20"/>
        </w:rPr>
        <w:t>BERT-BiLSTM</w:t>
      </w:r>
      <w:r>
        <w:rPr>
          <w:rFonts w:ascii="Times New Roman" w:hAnsi="Times New Roman"/>
          <w:b w:val="0"/>
          <w:i w:val="0"/>
          <w:color w:val="000000"/>
          <w:sz w:val="20"/>
        </w:rPr>
        <w:t xml:space="preserve"> architecture outperforms all other models, obtaining a peak accuracy of </w:t>
      </w:r>
      <w:r>
        <w:rPr>
          <w:rFonts w:ascii="Times New Roman" w:hAnsi="Times New Roman"/>
          <w:b/>
          <w:i w:val="0"/>
          <w:color w:val="000000"/>
          <w:sz w:val="20"/>
        </w:rPr>
        <w:t>99.10%</w:t>
      </w:r>
      <w:r>
        <w:rPr>
          <w:rFonts w:ascii="Times New Roman" w:hAnsi="Times New Roman"/>
          <w:b w:val="0"/>
          <w:i w:val="0"/>
          <w:color w:val="000000"/>
          <w:sz w:val="20"/>
        </w:rPr>
        <w:t xml:space="preserve">, precision of </w:t>
      </w:r>
      <w:r>
        <w:rPr>
          <w:rFonts w:ascii="Times New Roman" w:hAnsi="Times New Roman"/>
          <w:b/>
          <w:i w:val="0"/>
          <w:color w:val="000000"/>
          <w:sz w:val="20"/>
        </w:rPr>
        <w:t>89.80%</w:t>
      </w:r>
      <w:r>
        <w:rPr>
          <w:rFonts w:ascii="Times New Roman" w:hAnsi="Times New Roman"/>
          <w:b w:val="0"/>
          <w:i w:val="0"/>
          <w:color w:val="000000"/>
          <w:sz w:val="20"/>
        </w:rPr>
        <w:t xml:space="preserve">, recall of </w:t>
      </w:r>
      <w:r>
        <w:rPr>
          <w:rFonts w:ascii="Times New Roman" w:hAnsi="Times New Roman"/>
          <w:b/>
          <w:i w:val="0"/>
          <w:color w:val="000000"/>
          <w:sz w:val="20"/>
        </w:rPr>
        <w:t>94.20%</w:t>
      </w:r>
      <w:r>
        <w:rPr>
          <w:rFonts w:ascii="Times New Roman" w:hAnsi="Times New Roman"/>
          <w:b w:val="0"/>
          <w:i w:val="0"/>
          <w:color w:val="000000"/>
          <w:sz w:val="20"/>
        </w:rPr>
        <w:t xml:space="preserve">, and an F1-score of </w:t>
      </w:r>
      <w:r>
        <w:rPr>
          <w:rFonts w:ascii="Times New Roman" w:hAnsi="Times New Roman"/>
          <w:b/>
          <w:i w:val="0"/>
          <w:color w:val="000000"/>
          <w:sz w:val="20"/>
        </w:rPr>
        <w:t>91.95%</w:t>
      </w:r>
      <w:r>
        <w:rPr>
          <w:rFonts w:ascii="Times New Roman" w:hAnsi="Times New Roman"/>
          <w:b w:val="0"/>
          <w:i w:val="0"/>
          <w:color w:val="000000"/>
          <w:sz w:val="20"/>
        </w:rPr>
        <w:t xml:space="preserve">. The ROC-AUC also improves to </w:t>
      </w:r>
      <w:r>
        <w:rPr>
          <w:rFonts w:ascii="Times New Roman" w:hAnsi="Times New Roman"/>
          <w:b/>
          <w:i w:val="0"/>
          <w:color w:val="000000"/>
          <w:sz w:val="20"/>
        </w:rPr>
        <w:t>99.25%</w:t>
      </w:r>
      <w:r>
        <w:rPr>
          <w:rFonts w:ascii="Times New Roman" w:hAnsi="Times New Roman"/>
          <w:b w:val="0"/>
          <w:i w:val="0"/>
          <w:color w:val="000000"/>
          <w:sz w:val="20"/>
        </w:rPr>
        <w:t>. This demonstrates that sequential modeling over contextual embeddings captures fraudulent indicators far more robustly than using the first classification token alone.</w:t>
      </w:r>
    </w:p>
    <w:p>
      <w:pPr>
        <w:spacing w:before="120" w:after="40"/>
        <w:jc w:val="center"/>
      </w:pPr>
      <w:r>
        <w:drawing>
          <wp:inline xmlns:a="http://schemas.openxmlformats.org/drawingml/2006/main" xmlns:pic="http://schemas.openxmlformats.org/drawingml/2006/picture">
            <wp:extent cx="2651760" cy="2121408"/>
            <wp:docPr id="3" name="Picture 3"/>
            <wp:cNvGraphicFramePr>
              <a:graphicFrameLocks noChangeAspect="1"/>
            </wp:cNvGraphicFramePr>
            <a:graphic>
              <a:graphicData uri="http://schemas.openxmlformats.org/drawingml/2006/picture">
                <pic:pic>
                  <pic:nvPicPr>
                    <pic:cNvPr id="0" name="roc_curves.png"/>
                    <pic:cNvPicPr/>
                  </pic:nvPicPr>
                  <pic:blipFill>
                    <a:blip r:embed="rId11"/>
                    <a:stretch>
                      <a:fillRect/>
                    </a:stretch>
                  </pic:blipFill>
                  <pic:spPr>
                    <a:xfrm>
                      <a:off x="0" y="0"/>
                      <a:ext cx="2651760" cy="2121408"/>
                    </a:xfrm>
                    <a:prstGeom prst="rect"/>
                  </pic:spPr>
                </pic:pic>
              </a:graphicData>
            </a:graphic>
          </wp:inline>
        </w:drawing>
      </w:r>
    </w:p>
    <w:p>
      <w:pPr>
        <w:spacing w:after="120"/>
        <w:jc w:val="center"/>
      </w:pPr>
      <w:r>
        <w:rPr>
          <w:rFonts w:ascii="Times New Roman" w:hAnsi="Times New Roman"/>
          <w:b w:val="0"/>
          <w:i w:val="0"/>
          <w:color w:val="000000"/>
          <w:sz w:val="16"/>
        </w:rPr>
        <w:t>Fig. 3. ROC Curves comparison for all evaluated models on EMSCAD test set.</w:t>
      </w:r>
    </w:p>
    <w:p>
      <w:pPr>
        <w:keepNext/>
        <w:spacing w:before="120" w:after="40"/>
        <w:jc w:val="left"/>
      </w:pPr>
      <w:r>
        <w:rPr>
          <w:rFonts w:ascii="Times New Roman" w:hAnsi="Times New Roman"/>
          <w:b w:val="0"/>
          <w:i/>
          <w:color w:val="000000"/>
          <w:sz w:val="20"/>
        </w:rPr>
        <w:t>B. Ablation Study</w:t>
      </w:r>
    </w:p>
    <w:p>
      <w:pPr>
        <w:spacing w:line="240" w:lineRule="auto" w:after="60"/>
        <w:ind w:firstLine="216"/>
        <w:jc w:val="both"/>
      </w:pPr>
      <w:r>
        <w:rPr>
          <w:rFonts w:ascii="Times New Roman" w:hAnsi="Times New Roman"/>
          <w:b w:val="0"/>
          <w:i w:val="0"/>
          <w:color w:val="000000"/>
          <w:sz w:val="20"/>
        </w:rPr>
        <w:t>To formally evaluate the individual contributions of the transformer encoder and the recurrent sequential head, we perform an ablation study. We isolate the impact of: (1) replacing static embeddings with BERT's contextual embeddings, and (2) replacing the standalone linear head of BERT with a sequential Bi-LSTM head. Table II summarizes the ablation analysis.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val="0"/>
                <w:i w:val="0"/>
                <w:color w:val="000000"/>
                <w:sz w:val="18"/>
              </w:rPr>
              <w:t>Standalone BERT (GJU-CSE Baseline)</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[CLS])</w:t>
            </w:r>
          </w:p>
        </w:tc>
        <w:tc>
          <w:tcPr>
            <w:tcW w:type="dxa" w:w="2088"/>
          </w:tcPr>
          <w:p>
            <w:pPr>
              <w:jc w:val="center"/>
            </w:pPr>
            <w:r>
              <w:rPr>
                <w:rFonts w:ascii="Times New Roman" w:hAnsi="Times New Roman"/>
                <w:b w:val="0"/>
                <w:i w:val="0"/>
                <w:color w:val="000000"/>
                <w:sz w:val="18"/>
              </w:rPr>
              <w:t>86.41%</w:t>
            </w:r>
          </w:p>
        </w:tc>
        <w:tc>
          <w:tcPr>
            <w:tcW w:type="dxa" w:w="2088"/>
          </w:tcPr>
          <w:p>
            <w:pPr>
              <w:jc w:val="center"/>
            </w:pPr>
            <w:r>
              <w:rPr>
                <w:rFonts w:ascii="Times New Roman" w:hAnsi="Times New Roman"/>
                <w:b w:val="0"/>
                <w:i w:val="0"/>
                <w:color w:val="000000"/>
                <w:sz w:val="18"/>
              </w:rPr>
              <w:t>+5.95%</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87.12%</w:t>
            </w:r>
          </w:p>
        </w:tc>
        <w:tc>
          <w:tcPr>
            <w:tcW w:type="dxa" w:w="2088"/>
          </w:tcPr>
          <w:p>
            <w:pPr>
              <w:jc w:val="center"/>
            </w:pPr>
            <w:r>
              <w:rPr>
                <w:rFonts w:ascii="Times New Roman" w:hAnsi="Times New Roman"/>
                <w:b w:val="0"/>
                <w:i w:val="0"/>
                <w:color w:val="000000"/>
                <w:sz w:val="18"/>
              </w:rPr>
              <w:t>+6.66%</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Contextual (BERT)</w:t>
            </w:r>
          </w:p>
        </w:tc>
        <w:tc>
          <w:tcPr>
            <w:tcW w:type="dxa" w:w="2088"/>
          </w:tcPr>
          <w:p>
            <w:pPr>
              <w:jc w:val="center"/>
            </w:pPr>
            <w:r>
              <w:rPr>
                <w:rFonts w:ascii="Times New Roman" w:hAnsi="Times New Roman"/>
                <w:b/>
                <w:i w:val="0"/>
                <w:color w:val="000000"/>
                <w:sz w:val="18"/>
              </w:rPr>
              <w:t>Bi-LSTM + Max Pool</w:t>
            </w:r>
          </w:p>
        </w:tc>
        <w:tc>
          <w:tcPr>
            <w:tcW w:type="dxa" w:w="2088"/>
          </w:tcPr>
          <w:p>
            <w:pPr>
              <w:jc w:val="center"/>
            </w:pPr>
            <w:r>
              <w:rPr>
                <w:rFonts w:ascii="Times New Roman" w:hAnsi="Times New Roman"/>
                <w:b/>
                <w:i w:val="0"/>
                <w:color w:val="000000"/>
                <w:sz w:val="18"/>
              </w:rPr>
              <w:t>91.95%</w:t>
            </w:r>
          </w:p>
        </w:tc>
        <w:tc>
          <w:tcPr>
            <w:tcW w:type="dxa" w:w="2088"/>
          </w:tcPr>
          <w:p>
            <w:pPr>
              <w:jc w:val="center"/>
            </w:pPr>
            <w:r>
              <w:rPr>
                <w:rFonts w:ascii="Times New Roman" w:hAnsi="Times New Roman"/>
                <w:b/>
                <w:i w:val="0"/>
                <w:color w:val="000000"/>
                <w:sz w:val="18"/>
              </w:rPr>
              <w:t>+11.49%</w:t>
            </w:r>
          </w:p>
        </w:tc>
      </w:tr>
    </w:tbl>
    <w:p>
      <w:pPr>
        <w:spacing w:before="80" w:after="160"/>
        <w:jc w:val="center"/>
      </w:pPr>
      <w:r>
        <w:rPr>
          <w:rFonts w:ascii="Times New Roman" w:hAnsi="Times New Roman"/>
          <w:b/>
          <w:i w:val="0"/>
          <w:color w:val="000000"/>
          <w:sz w:val="16"/>
        </w:rPr>
        <w:t>TABLE II. Ablation Study of Proposed Architecture</w:t>
      </w:r>
    </w:p>
    <w:p>
      <w:pPr>
        <w:spacing w:line="240" w:lineRule="auto" w:after="60"/>
        <w:ind w:firstLine="216"/>
        <w:jc w:val="both"/>
      </w:pPr>
      <w:r>
        <w:rPr>
          <w:rFonts w:ascii="Times New Roman" w:hAnsi="Times New Roman"/>
          <w:b w:val="0"/>
          <w:i w:val="0"/>
          <w:color w:val="000000"/>
          <w:sz w:val="20"/>
        </w:rPr>
        <w:t>The ablation results demonstrate two major findings: First, upgrading static word embeddings to BERT contextual embeddings while keeping the Bi-LSTM classifier head constant results in a huge performance jump, raising the F1-score from 80.46% to 91.95% (+11.49% gain). This is because the context-aware embeddings dynamically represent words based on the surrounding text, allowing the model to recognize when standard words are used in a deceptive context. Second, upgrading the linear classifier head of standalone BERT to a sequential Bi-LSTM classifier head results in an F1-score increase from 86.41% to 91.95% (+5.54% gain). This confirms that processing the entire sequence of token embeddings using a recurrent layer preserves structural information.</w:t>
      </w:r>
    </w:p>
    <w:p>
      <w:pPr>
        <w:spacing w:before="120" w:after="40"/>
        <w:jc w:val="center"/>
      </w:pPr>
      <w:r>
        <w:drawing>
          <wp:inline xmlns:a="http://schemas.openxmlformats.org/drawingml/2006/main" xmlns:pic="http://schemas.openxmlformats.org/drawingml/2006/picture">
            <wp:extent cx="2651760" cy="1546860"/>
            <wp:docPr id="4" name="Picture 4"/>
            <wp:cNvGraphicFramePr>
              <a:graphicFrameLocks noChangeAspect="1"/>
            </wp:cNvGraphicFramePr>
            <a:graphic>
              <a:graphicData uri="http://schemas.openxmlformats.org/drawingml/2006/picture">
                <pic:pic>
                  <pic:nvPicPr>
                    <pic:cNvPr id="0" name="performance_comparison.png"/>
                    <pic:cNvPicPr/>
                  </pic:nvPicPr>
                  <pic:blipFill>
                    <a:blip r:embed="rId12"/>
                    <a:stretch>
                      <a:fillRect/>
                    </a:stretch>
                  </pic:blipFill>
                  <pic:spPr>
                    <a:xfrm>
                      <a:off x="0" y="0"/>
                      <a:ext cx="2651760" cy="1546860"/>
                    </a:xfrm>
                    <a:prstGeom prst="rect"/>
                  </pic:spPr>
                </pic:pic>
              </a:graphicData>
            </a:graphic>
          </wp:inline>
        </w:drawing>
      </w:r>
    </w:p>
    <w:p>
      <w:pPr>
        <w:spacing w:after="120"/>
        <w:jc w:val="center"/>
      </w:pPr>
      <w:r>
        <w:rPr>
          <w:rFonts w:ascii="Times New Roman" w:hAnsi="Times New Roman"/>
          <w:b w:val="0"/>
          <w:i w:val="0"/>
          <w:color w:val="000000"/>
          <w:sz w:val="16"/>
        </w:rPr>
        <w:t>Fig. 4. Overall model metrics comparison bar chart.</w:t>
      </w:r>
    </w:p>
    <w:p>
      <w:pPr>
        <w:keepNext/>
        <w:spacing w:before="120" w:after="40"/>
        <w:jc w:val="left"/>
      </w:pPr>
      <w:r>
        <w:rPr>
          <w:rFonts w:ascii="Times New Roman" w:hAnsi="Times New Roman"/>
          <w:b w:val="0"/>
          <w:i/>
          <w:color w:val="000000"/>
          <w:sz w:val="20"/>
        </w:rPr>
        <w:t>C. Hyperparameter Sensitivity Study</w:t>
      </w:r>
    </w:p>
    <w:p>
      <w:pPr>
        <w:spacing w:line="240" w:lineRule="auto" w:after="60"/>
        <w:ind w:firstLine="216"/>
        <w:jc w:val="both"/>
      </w:pPr>
      <w:r>
        <w:rPr>
          <w:rFonts w:ascii="Times New Roman" w:hAnsi="Times New Roman"/>
          <w:b w:val="0"/>
          <w:i w:val="0"/>
          <w:color w:val="000000"/>
          <w:sz w:val="20"/>
        </w:rPr>
        <w:t>To evaluate the sensitivity of the proposed architecture, we perform a hyperparameter sensitivity study by varying the Bi-LSTM hidden units, dropout probabilities, and learning rates. Table III summarizes the results.</w:t>
      </w:r>
    </w:p>
    <w:tbl>
      <w:tblPr>
        <w:tblStyle w:val="LightShading-Accent1"/>
        <w:tblW w:type="auto" w:w="0"/>
        <w:tblLook w:firstColumn="1" w:firstRow="1" w:lastColumn="0" w:lastRow="0" w:noHBand="0" w:noVBand="1" w:val="04A0"/>
      </w:tblPr>
      <w:tblGrid>
        <w:gridCol w:w="2610"/>
        <w:gridCol w:w="2610"/>
        <w:gridCol w:w="2610"/>
        <w:gridCol w:w="2610"/>
      </w:tblGrid>
      <w:tr>
        <w:tc>
          <w:tcPr>
            <w:tcW w:type="dxa" w:w="2610"/>
          </w:tcPr>
          <w:p>
            <w:pPr>
              <w:jc w:val="center"/>
            </w:pPr>
            <w:r>
              <w:rPr>
                <w:rFonts w:ascii="Times New Roman" w:hAnsi="Times New Roman"/>
                <w:b/>
                <w:i w:val="0"/>
                <w:color w:val="000000"/>
                <w:sz w:val="18"/>
              </w:rPr>
              <w:t>Hyperparameter</w:t>
            </w:r>
          </w:p>
        </w:tc>
        <w:tc>
          <w:tcPr>
            <w:tcW w:type="dxa" w:w="2610"/>
          </w:tcPr>
          <w:p>
            <w:pPr>
              <w:jc w:val="center"/>
            </w:pPr>
            <w:r>
              <w:rPr>
                <w:rFonts w:ascii="Times New Roman" w:hAnsi="Times New Roman"/>
                <w:b/>
                <w:i w:val="0"/>
                <w:color w:val="000000"/>
                <w:sz w:val="18"/>
              </w:rPr>
              <w:t>Values</w:t>
            </w:r>
          </w:p>
        </w:tc>
        <w:tc>
          <w:tcPr>
            <w:tcW w:type="dxa" w:w="2610"/>
          </w:tcPr>
          <w:p>
            <w:pPr>
              <w:jc w:val="center"/>
            </w:pPr>
            <w:r>
              <w:rPr>
                <w:rFonts w:ascii="Times New Roman" w:hAnsi="Times New Roman"/>
                <w:b/>
                <w:i w:val="0"/>
                <w:color w:val="000000"/>
                <w:sz w:val="18"/>
              </w:rPr>
              <w:t>Accuracy</w:t>
            </w:r>
          </w:p>
        </w:tc>
        <w:tc>
          <w:tcPr>
            <w:tcW w:type="dxa" w:w="2610"/>
          </w:tcPr>
          <w:p>
            <w:pPr>
              <w:jc w:val="center"/>
            </w:pPr>
            <w:r>
              <w:rPr>
                <w:rFonts w:ascii="Times New Roman" w:hAnsi="Times New Roman"/>
                <w:b/>
                <w:i w:val="0"/>
                <w:color w:val="000000"/>
                <w:sz w:val="18"/>
              </w:rPr>
              <w:t>F1-score</w:t>
            </w:r>
          </w:p>
        </w:tc>
      </w:tr>
      <w:tr>
        <w:tc>
          <w:tcPr>
            <w:tcW w:type="dxa" w:w="2610"/>
          </w:tcPr>
          <w:p>
            <w:pPr>
              <w:jc w:val="left"/>
            </w:pPr>
            <w:r>
              <w:rPr>
                <w:rFonts w:ascii="Times New Roman" w:hAnsi="Times New Roman"/>
                <w:b w:val="0"/>
                <w:i w:val="0"/>
                <w:color w:val="000000"/>
                <w:sz w:val="18"/>
              </w:rPr>
              <w:t>LSTM Hidden Units</w:t>
            </w:r>
          </w:p>
        </w:tc>
        <w:tc>
          <w:tcPr>
            <w:tcW w:type="dxa" w:w="2610"/>
          </w:tcPr>
          <w:p>
            <w:pPr>
              <w:jc w:val="center"/>
            </w:pPr>
            <w:r>
              <w:rPr>
                <w:rFonts w:ascii="Times New Roman" w:hAnsi="Times New Roman"/>
                <w:b w:val="0"/>
                <w:i w:val="0"/>
                <w:color w:val="000000"/>
                <w:sz w:val="18"/>
              </w:rPr>
              <w:t>64</w:t>
            </w:r>
          </w:p>
        </w:tc>
        <w:tc>
          <w:tcPr>
            <w:tcW w:type="dxa" w:w="2610"/>
          </w:tcPr>
          <w:p>
            <w:pPr>
              <w:jc w:val="center"/>
            </w:pPr>
            <w:r>
              <w:rPr>
                <w:rFonts w:ascii="Times New Roman" w:hAnsi="Times New Roman"/>
                <w:b w:val="0"/>
                <w:i w:val="0"/>
                <w:color w:val="000000"/>
                <w:sz w:val="18"/>
              </w:rPr>
              <w:t>98.80%</w:t>
            </w:r>
          </w:p>
        </w:tc>
        <w:tc>
          <w:tcPr>
            <w:tcW w:type="dxa" w:w="2610"/>
          </w:tcPr>
          <w:p>
            <w:pPr>
              <w:jc w:val="center"/>
            </w:pPr>
            <w:r>
              <w:rPr>
                <w:rFonts w:ascii="Times New Roman" w:hAnsi="Times New Roman"/>
                <w:b w:val="0"/>
                <w:i w:val="0"/>
                <w:color w:val="000000"/>
                <w:sz w:val="18"/>
              </w:rPr>
              <w:t>89.20%</w:t>
            </w:r>
          </w:p>
        </w:tc>
      </w:tr>
      <w:tr>
        <w:tc>
          <w:tcPr>
            <w:tcW w:type="dxa" w:w="2610"/>
          </w:tcPr>
          <w:p>
            <w:pPr>
              <w:jc w:val="left"/>
            </w:pPr>
            <w:r>
              <w:rPr>
                <w:rFonts w:ascii="Times New Roman" w:hAnsi="Times New Roman"/>
                <w:b/>
                <w:i w:val="0"/>
                <w:color w:val="000000"/>
                <w:sz w:val="18"/>
              </w:rPr>
              <w:t>LSTM Hidden Units</w:t>
            </w:r>
          </w:p>
        </w:tc>
        <w:tc>
          <w:tcPr>
            <w:tcW w:type="dxa" w:w="2610"/>
          </w:tcPr>
          <w:p>
            <w:pPr>
              <w:jc w:val="center"/>
            </w:pPr>
            <w:r>
              <w:rPr>
                <w:rFonts w:ascii="Times New Roman" w:hAnsi="Times New Roman"/>
                <w:b/>
                <w:i w:val="0"/>
                <w:color w:val="000000"/>
                <w:sz w:val="18"/>
              </w:rPr>
              <w:t>128 (Selected)</w:t>
            </w:r>
          </w:p>
        </w:tc>
        <w:tc>
          <w:tcPr>
            <w:tcW w:type="dxa" w:w="2610"/>
          </w:tcPr>
          <w:p>
            <w:pPr>
              <w:jc w:val="center"/>
            </w:pPr>
            <w:r>
              <w:rPr>
                <w:rFonts w:ascii="Times New Roman" w:hAnsi="Times New Roman"/>
                <w:b/>
                <w:i w:val="0"/>
                <w:color w:val="000000"/>
                <w:sz w:val="18"/>
              </w:rPr>
              <w:t>99.10%</w:t>
            </w:r>
          </w:p>
        </w:tc>
        <w:tc>
          <w:tcPr>
            <w:tcW w:type="dxa" w:w="2610"/>
          </w:tcPr>
          <w:p>
            <w:pPr>
              <w:jc w:val="center"/>
            </w:pPr>
            <w:r>
              <w:rPr>
                <w:rFonts w:ascii="Times New Roman" w:hAnsi="Times New Roman"/>
                <w:b/>
                <w:i w:val="0"/>
                <w:color w:val="000000"/>
                <w:sz w:val="18"/>
              </w:rPr>
              <w:t>91.95%</w:t>
            </w:r>
          </w:p>
        </w:tc>
      </w:tr>
      <w:tr>
        <w:tc>
          <w:tcPr>
            <w:tcW w:type="dxa" w:w="2610"/>
          </w:tcPr>
          <w:p>
            <w:pPr>
              <w:jc w:val="left"/>
            </w:pPr>
            <w:r>
              <w:rPr>
                <w:rFonts w:ascii="Times New Roman" w:hAnsi="Times New Roman"/>
                <w:b w:val="0"/>
                <w:i w:val="0"/>
                <w:color w:val="000000"/>
                <w:sz w:val="18"/>
              </w:rPr>
              <w:t>LSTM Hidden Units</w:t>
            </w:r>
          </w:p>
        </w:tc>
        <w:tc>
          <w:tcPr>
            <w:tcW w:type="dxa" w:w="2610"/>
          </w:tcPr>
          <w:p>
            <w:pPr>
              <w:jc w:val="center"/>
            </w:pPr>
            <w:r>
              <w:rPr>
                <w:rFonts w:ascii="Times New Roman" w:hAnsi="Times New Roman"/>
                <w:b w:val="0"/>
                <w:i w:val="0"/>
                <w:color w:val="000000"/>
                <w:sz w:val="18"/>
              </w:rPr>
              <w:t>256</w:t>
            </w:r>
          </w:p>
        </w:tc>
        <w:tc>
          <w:tcPr>
            <w:tcW w:type="dxa" w:w="2610"/>
          </w:tcPr>
          <w:p>
            <w:pPr>
              <w:jc w:val="center"/>
            </w:pPr>
            <w:r>
              <w:rPr>
                <w:rFonts w:ascii="Times New Roman" w:hAnsi="Times New Roman"/>
                <w:b w:val="0"/>
                <w:i w:val="0"/>
                <w:color w:val="000000"/>
                <w:sz w:val="18"/>
              </w:rPr>
              <w:t>99.02%</w:t>
            </w:r>
          </w:p>
        </w:tc>
        <w:tc>
          <w:tcPr>
            <w:tcW w:type="dxa" w:w="2610"/>
          </w:tcPr>
          <w:p>
            <w:pPr>
              <w:jc w:val="center"/>
            </w:pPr>
            <w:r>
              <w:rPr>
                <w:rFonts w:ascii="Times New Roman" w:hAnsi="Times New Roman"/>
                <w:b w:val="0"/>
                <w:i w:val="0"/>
                <w:color w:val="000000"/>
                <w:sz w:val="18"/>
              </w:rPr>
              <w:t>91.10%</w:t>
            </w:r>
          </w:p>
        </w:tc>
      </w:tr>
      <w:tr>
        <w:tc>
          <w:tcPr>
            <w:tcW w:type="dxa" w:w="2610"/>
          </w:tcPr>
          <w:p>
            <w:pPr>
              <w:jc w:val="left"/>
            </w:pPr>
            <w:r>
              <w:rPr>
                <w:rFonts w:ascii="Times New Roman" w:hAnsi="Times New Roman"/>
                <w:b w:val="0"/>
                <w:i w:val="0"/>
                <w:color w:val="000000"/>
                <w:sz w:val="18"/>
              </w:rPr>
              <w:t>Dropout Rate</w:t>
            </w:r>
          </w:p>
        </w:tc>
        <w:tc>
          <w:tcPr>
            <w:tcW w:type="dxa" w:w="2610"/>
          </w:tcPr>
          <w:p>
            <w:pPr>
              <w:jc w:val="center"/>
            </w:pPr>
            <w:r>
              <w:rPr>
                <w:rFonts w:ascii="Times New Roman" w:hAnsi="Times New Roman"/>
                <w:b w:val="0"/>
                <w:i w:val="0"/>
                <w:color w:val="000000"/>
                <w:sz w:val="18"/>
              </w:rPr>
              <w:t>0.2</w:t>
            </w:r>
          </w:p>
        </w:tc>
        <w:tc>
          <w:tcPr>
            <w:tcW w:type="dxa" w:w="2610"/>
          </w:tcPr>
          <w:p>
            <w:pPr>
              <w:jc w:val="center"/>
            </w:pPr>
            <w:r>
              <w:rPr>
                <w:rFonts w:ascii="Times New Roman" w:hAnsi="Times New Roman"/>
                <w:b w:val="0"/>
                <w:i w:val="0"/>
                <w:color w:val="000000"/>
                <w:sz w:val="18"/>
              </w:rPr>
              <w:t>98.95%</w:t>
            </w:r>
          </w:p>
        </w:tc>
        <w:tc>
          <w:tcPr>
            <w:tcW w:type="dxa" w:w="2610"/>
          </w:tcPr>
          <w:p>
            <w:pPr>
              <w:jc w:val="center"/>
            </w:pPr>
            <w:r>
              <w:rPr>
                <w:rFonts w:ascii="Times New Roman" w:hAnsi="Times New Roman"/>
                <w:b w:val="0"/>
                <w:i w:val="0"/>
                <w:color w:val="000000"/>
                <w:sz w:val="18"/>
              </w:rPr>
              <w:t>90.85%</w:t>
            </w:r>
          </w:p>
        </w:tc>
      </w:tr>
      <w:tr>
        <w:tc>
          <w:tcPr>
            <w:tcW w:type="dxa" w:w="2610"/>
          </w:tcPr>
          <w:p>
            <w:pPr>
              <w:jc w:val="left"/>
            </w:pPr>
            <w:r>
              <w:rPr>
                <w:rFonts w:ascii="Times New Roman" w:hAnsi="Times New Roman"/>
                <w:b/>
                <w:i w:val="0"/>
                <w:color w:val="000000"/>
                <w:sz w:val="18"/>
              </w:rPr>
              <w:t>Dropout Rate</w:t>
            </w:r>
          </w:p>
        </w:tc>
        <w:tc>
          <w:tcPr>
            <w:tcW w:type="dxa" w:w="2610"/>
          </w:tcPr>
          <w:p>
            <w:pPr>
              <w:jc w:val="center"/>
            </w:pPr>
            <w:r>
              <w:rPr>
                <w:rFonts w:ascii="Times New Roman" w:hAnsi="Times New Roman"/>
                <w:b/>
                <w:i w:val="0"/>
                <w:color w:val="000000"/>
                <w:sz w:val="18"/>
              </w:rPr>
              <w:t>0.3 (Selected)</w:t>
            </w:r>
          </w:p>
        </w:tc>
        <w:tc>
          <w:tcPr>
            <w:tcW w:type="dxa" w:w="2610"/>
          </w:tcPr>
          <w:p>
            <w:pPr>
              <w:jc w:val="center"/>
            </w:pPr>
            <w:r>
              <w:rPr>
                <w:rFonts w:ascii="Times New Roman" w:hAnsi="Times New Roman"/>
                <w:b/>
                <w:i w:val="0"/>
                <w:color w:val="000000"/>
                <w:sz w:val="18"/>
              </w:rPr>
              <w:t>99.10%</w:t>
            </w:r>
          </w:p>
        </w:tc>
        <w:tc>
          <w:tcPr>
            <w:tcW w:type="dxa" w:w="2610"/>
          </w:tcPr>
          <w:p>
            <w:pPr>
              <w:jc w:val="center"/>
            </w:pPr>
            <w:r>
              <w:rPr>
                <w:rFonts w:ascii="Times New Roman" w:hAnsi="Times New Roman"/>
                <w:b/>
                <w:i w:val="0"/>
                <w:color w:val="000000"/>
                <w:sz w:val="18"/>
              </w:rPr>
              <w:t>91.95%</w:t>
            </w:r>
          </w:p>
        </w:tc>
      </w:tr>
      <w:tr>
        <w:tc>
          <w:tcPr>
            <w:tcW w:type="dxa" w:w="2610"/>
          </w:tcPr>
          <w:p>
            <w:pPr>
              <w:jc w:val="left"/>
            </w:pPr>
            <w:r>
              <w:rPr>
                <w:rFonts w:ascii="Times New Roman" w:hAnsi="Times New Roman"/>
                <w:b w:val="0"/>
                <w:i w:val="0"/>
                <w:color w:val="000000"/>
                <w:sz w:val="18"/>
              </w:rPr>
              <w:t>Dropout Rate</w:t>
            </w:r>
          </w:p>
        </w:tc>
        <w:tc>
          <w:tcPr>
            <w:tcW w:type="dxa" w:w="2610"/>
          </w:tcPr>
          <w:p>
            <w:pPr>
              <w:jc w:val="center"/>
            </w:pPr>
            <w:r>
              <w:rPr>
                <w:rFonts w:ascii="Times New Roman" w:hAnsi="Times New Roman"/>
                <w:b w:val="0"/>
                <w:i w:val="0"/>
                <w:color w:val="000000"/>
                <w:sz w:val="18"/>
              </w:rPr>
              <w:t>0.5</w:t>
            </w:r>
          </w:p>
        </w:tc>
        <w:tc>
          <w:tcPr>
            <w:tcW w:type="dxa" w:w="2610"/>
          </w:tcPr>
          <w:p>
            <w:pPr>
              <w:jc w:val="center"/>
            </w:pPr>
            <w:r>
              <w:rPr>
                <w:rFonts w:ascii="Times New Roman" w:hAnsi="Times New Roman"/>
                <w:b w:val="0"/>
                <w:i w:val="0"/>
                <w:color w:val="000000"/>
                <w:sz w:val="18"/>
              </w:rPr>
              <w:t>98.88%</w:t>
            </w:r>
          </w:p>
        </w:tc>
        <w:tc>
          <w:tcPr>
            <w:tcW w:type="dxa" w:w="2610"/>
          </w:tcPr>
          <w:p>
            <w:pPr>
              <w:jc w:val="center"/>
            </w:pPr>
            <w:r>
              <w:rPr>
                <w:rFonts w:ascii="Times New Roman" w:hAnsi="Times New Roman"/>
                <w:b w:val="0"/>
                <w:i w:val="0"/>
                <w:color w:val="000000"/>
                <w:sz w:val="18"/>
              </w:rPr>
              <w:t>89.90%</w:t>
            </w:r>
          </w:p>
        </w:tc>
      </w:tr>
      <w:tr>
        <w:tc>
          <w:tcPr>
            <w:tcW w:type="dxa" w:w="2610"/>
          </w:tcPr>
          <w:p>
            <w:pPr>
              <w:jc w:val="left"/>
            </w:pPr>
            <w:r>
              <w:rPr>
                <w:rFonts w:ascii="Times New Roman" w:hAnsi="Times New Roman"/>
                <w:b w:val="0"/>
                <w:i w:val="0"/>
                <w:color w:val="000000"/>
                <w:sz w:val="18"/>
              </w:rPr>
              <w:t>Learning Rate</w:t>
            </w:r>
          </w:p>
        </w:tc>
        <w:tc>
          <w:tcPr>
            <w:tcW w:type="dxa" w:w="2610"/>
          </w:tcPr>
          <w:p>
            <w:pPr>
              <w:jc w:val="center"/>
            </w:pPr>
            <w:r>
              <w:rPr>
                <w:rFonts w:ascii="Times New Roman" w:hAnsi="Times New Roman"/>
                <w:b w:val="0"/>
                <w:i w:val="0"/>
                <w:color w:val="000000"/>
                <w:sz w:val="18"/>
              </w:rPr>
              <w:t>5e-4</w:t>
            </w:r>
          </w:p>
        </w:tc>
        <w:tc>
          <w:tcPr>
            <w:tcW w:type="dxa" w:w="2610"/>
          </w:tcPr>
          <w:p>
            <w:pPr>
              <w:jc w:val="center"/>
            </w:pPr>
            <w:r>
              <w:rPr>
                <w:rFonts w:ascii="Times New Roman" w:hAnsi="Times New Roman"/>
                <w:b w:val="0"/>
                <w:i w:val="0"/>
                <w:color w:val="000000"/>
                <w:sz w:val="18"/>
              </w:rPr>
              <w:t>98.92%</w:t>
            </w:r>
          </w:p>
        </w:tc>
        <w:tc>
          <w:tcPr>
            <w:tcW w:type="dxa" w:w="2610"/>
          </w:tcPr>
          <w:p>
            <w:pPr>
              <w:jc w:val="center"/>
            </w:pPr>
            <w:r>
              <w:rPr>
                <w:rFonts w:ascii="Times New Roman" w:hAnsi="Times New Roman"/>
                <w:b w:val="0"/>
                <w:i w:val="0"/>
                <w:color w:val="000000"/>
                <w:sz w:val="18"/>
              </w:rPr>
              <w:t>90.10%</w:t>
            </w:r>
          </w:p>
        </w:tc>
      </w:tr>
      <w:tr>
        <w:tc>
          <w:tcPr>
            <w:tcW w:type="dxa" w:w="2610"/>
          </w:tcPr>
          <w:p>
            <w:pPr>
              <w:jc w:val="left"/>
            </w:pPr>
            <w:r>
              <w:rPr>
                <w:rFonts w:ascii="Times New Roman" w:hAnsi="Times New Roman"/>
                <w:b/>
                <w:i w:val="0"/>
                <w:color w:val="000000"/>
                <w:sz w:val="18"/>
              </w:rPr>
              <w:t>Learning Rate</w:t>
            </w:r>
          </w:p>
        </w:tc>
        <w:tc>
          <w:tcPr>
            <w:tcW w:type="dxa" w:w="2610"/>
          </w:tcPr>
          <w:p>
            <w:pPr>
              <w:jc w:val="center"/>
            </w:pPr>
            <w:r>
              <w:rPr>
                <w:rFonts w:ascii="Times New Roman" w:hAnsi="Times New Roman"/>
                <w:b/>
                <w:i w:val="0"/>
                <w:color w:val="000000"/>
                <w:sz w:val="18"/>
              </w:rPr>
              <w:t>1e-3 (Selected)</w:t>
            </w:r>
          </w:p>
        </w:tc>
        <w:tc>
          <w:tcPr>
            <w:tcW w:type="dxa" w:w="2610"/>
          </w:tcPr>
          <w:p>
            <w:pPr>
              <w:jc w:val="center"/>
            </w:pPr>
            <w:r>
              <w:rPr>
                <w:rFonts w:ascii="Times New Roman" w:hAnsi="Times New Roman"/>
                <w:b/>
                <w:i w:val="0"/>
                <w:color w:val="000000"/>
                <w:sz w:val="18"/>
              </w:rPr>
              <w:t>99.10%</w:t>
            </w:r>
          </w:p>
        </w:tc>
        <w:tc>
          <w:tcPr>
            <w:tcW w:type="dxa" w:w="2610"/>
          </w:tcPr>
          <w:p>
            <w:pPr>
              <w:jc w:val="center"/>
            </w:pPr>
            <w:r>
              <w:rPr>
                <w:rFonts w:ascii="Times New Roman" w:hAnsi="Times New Roman"/>
                <w:b/>
                <w:i w:val="0"/>
                <w:color w:val="000000"/>
                <w:sz w:val="18"/>
              </w:rPr>
              <w:t>91.95%</w:t>
            </w:r>
          </w:p>
        </w:tc>
      </w:tr>
      <w:tr>
        <w:tc>
          <w:tcPr>
            <w:tcW w:type="dxa" w:w="2610"/>
          </w:tcPr>
          <w:p>
            <w:pPr>
              <w:jc w:val="left"/>
            </w:pPr>
            <w:r>
              <w:rPr>
                <w:rFonts w:ascii="Times New Roman" w:hAnsi="Times New Roman"/>
                <w:b w:val="0"/>
                <w:i w:val="0"/>
                <w:color w:val="000000"/>
                <w:sz w:val="18"/>
              </w:rPr>
              <w:t>Learning Rate</w:t>
            </w:r>
          </w:p>
        </w:tc>
        <w:tc>
          <w:tcPr>
            <w:tcW w:type="dxa" w:w="2610"/>
          </w:tcPr>
          <w:p>
            <w:pPr>
              <w:jc w:val="center"/>
            </w:pPr>
            <w:r>
              <w:rPr>
                <w:rFonts w:ascii="Times New Roman" w:hAnsi="Times New Roman"/>
                <w:b w:val="0"/>
                <w:i w:val="0"/>
                <w:color w:val="000000"/>
                <w:sz w:val="18"/>
              </w:rPr>
              <w:t>5e-3</w:t>
            </w:r>
          </w:p>
        </w:tc>
        <w:tc>
          <w:tcPr>
            <w:tcW w:type="dxa" w:w="2610"/>
          </w:tcPr>
          <w:p>
            <w:pPr>
              <w:jc w:val="center"/>
            </w:pPr>
            <w:r>
              <w:rPr>
                <w:rFonts w:ascii="Times New Roman" w:hAnsi="Times New Roman"/>
                <w:b w:val="0"/>
                <w:i w:val="0"/>
                <w:color w:val="000000"/>
                <w:sz w:val="18"/>
              </w:rPr>
              <w:t>98.74%</w:t>
            </w:r>
          </w:p>
        </w:tc>
        <w:tc>
          <w:tcPr>
            <w:tcW w:type="dxa" w:w="2610"/>
          </w:tcPr>
          <w:p>
            <w:pPr>
              <w:jc w:val="center"/>
            </w:pPr>
            <w:r>
              <w:rPr>
                <w:rFonts w:ascii="Times New Roman" w:hAnsi="Times New Roman"/>
                <w:b w:val="0"/>
                <w:i w:val="0"/>
                <w:color w:val="000000"/>
                <w:sz w:val="18"/>
              </w:rPr>
              <w:t>88.50%</w:t>
            </w:r>
          </w:p>
        </w:tc>
      </w:tr>
    </w:tbl>
    <w:p>
      <w:pPr>
        <w:spacing w:before="80" w:after="160"/>
        <w:jc w:val="center"/>
      </w:pPr>
      <w:r>
        <w:rPr>
          <w:rFonts w:ascii="Times New Roman" w:hAnsi="Times New Roman"/>
          <w:b/>
          <w:i w:val="0"/>
          <w:color w:val="000000"/>
          <w:sz w:val="16"/>
        </w:rPr>
        <w:t>TABLE III. Hyperparameter Sensitivity Analysis</w:t>
      </w:r>
    </w:p>
    <w:p>
      <w:pPr>
        <w:keepNext/>
        <w:spacing w:before="120" w:after="40"/>
        <w:jc w:val="left"/>
      </w:pPr>
      <w:r>
        <w:rPr>
          <w:rFonts w:ascii="Times New Roman" w:hAnsi="Times New Roman"/>
          <w:b w:val="0"/>
          <w:i/>
          <w:color w:val="000000"/>
          <w:sz w:val="20"/>
        </w:rPr>
        <w:t>D. Computational Resource Analysis</w:t>
      </w:r>
    </w:p>
    <w:p>
      <w:pPr>
        <w:spacing w:line="240" w:lineRule="auto" w:after="60"/>
        <w:ind w:firstLine="216"/>
        <w:jc w:val="both"/>
      </w:pPr>
      <w:r>
        <w:rPr>
          <w:rFonts w:ascii="Times New Roman" w:hAnsi="Times New Roman"/>
          <w:b w:val="0"/>
          <w:i w:val="0"/>
          <w:color w:val="000000"/>
          <w:sz w:val="20"/>
        </w:rPr>
        <w:t>To ensure the model is practical for production deployment, we conduct a computational complexity and resource utilization study. We report the parameter counts, training execution times, and throughput. Table IV summarizes these metrics.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Model</w:t>
            </w:r>
          </w:p>
        </w:tc>
        <w:tc>
          <w:tcPr>
            <w:tcW w:type="dxa" w:w="2088"/>
          </w:tcPr>
          <w:p>
            <w:pPr>
              <w:jc w:val="center"/>
            </w:pPr>
            <w:r>
              <w:rPr>
                <w:rFonts w:ascii="Times New Roman" w:hAnsi="Times New Roman"/>
                <w:b/>
                <w:i w:val="0"/>
                <w:color w:val="000000"/>
                <w:sz w:val="18"/>
              </w:rPr>
              <w:t>Total Params</w:t>
            </w:r>
          </w:p>
        </w:tc>
        <w:tc>
          <w:tcPr>
            <w:tcW w:type="dxa" w:w="2088"/>
          </w:tcPr>
          <w:p>
            <w:pPr>
              <w:jc w:val="center"/>
            </w:pPr>
            <w:r>
              <w:rPr>
                <w:rFonts w:ascii="Times New Roman" w:hAnsi="Times New Roman"/>
                <w:b/>
                <w:i w:val="0"/>
                <w:color w:val="000000"/>
                <w:sz w:val="18"/>
              </w:rPr>
              <w:t>Trainable Params</w:t>
            </w:r>
          </w:p>
        </w:tc>
        <w:tc>
          <w:tcPr>
            <w:tcW w:type="dxa" w:w="2088"/>
          </w:tcPr>
          <w:p>
            <w:pPr>
              <w:jc w:val="center"/>
            </w:pPr>
            <w:r>
              <w:rPr>
                <w:rFonts w:ascii="Times New Roman" w:hAnsi="Times New Roman"/>
                <w:b/>
                <w:i w:val="0"/>
                <w:color w:val="000000"/>
                <w:sz w:val="18"/>
              </w:rPr>
              <w:t>Train Time / Epoch</w:t>
            </w:r>
          </w:p>
        </w:tc>
        <w:tc>
          <w:tcPr>
            <w:tcW w:type="dxa" w:w="2088"/>
          </w:tcPr>
          <w:p>
            <w:pPr>
              <w:jc w:val="center"/>
            </w:pPr>
            <w:r>
              <w:rPr>
                <w:rFonts w:ascii="Times New Roman" w:hAnsi="Times New Roman"/>
                <w:b/>
                <w:i w:val="0"/>
                <w:color w:val="000000"/>
                <w:sz w:val="18"/>
              </w:rPr>
              <w:t>Throughput</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0.50 M</w:t>
            </w:r>
          </w:p>
        </w:tc>
        <w:tc>
          <w:tcPr>
            <w:tcW w:type="dxa" w:w="2088"/>
          </w:tcPr>
          <w:p>
            <w:pPr>
              <w:jc w:val="center"/>
            </w:pPr>
            <w:r>
              <w:rPr>
                <w:rFonts w:ascii="Times New Roman" w:hAnsi="Times New Roman"/>
                <w:b w:val="0"/>
                <w:i w:val="0"/>
                <w:color w:val="000000"/>
                <w:sz w:val="18"/>
              </w:rPr>
              <w:t>0.50 M</w:t>
            </w:r>
          </w:p>
        </w:tc>
        <w:tc>
          <w:tcPr>
            <w:tcW w:type="dxa" w:w="2088"/>
          </w:tcPr>
          <w:p>
            <w:pPr>
              <w:jc w:val="center"/>
            </w:pPr>
            <w:r>
              <w:rPr>
                <w:rFonts w:ascii="Times New Roman" w:hAnsi="Times New Roman"/>
                <w:b w:val="0"/>
                <w:i w:val="0"/>
                <w:color w:val="000000"/>
                <w:sz w:val="18"/>
              </w:rPr>
              <w:t>15 seconds</w:t>
            </w:r>
          </w:p>
        </w:tc>
        <w:tc>
          <w:tcPr>
            <w:tcW w:type="dxa" w:w="2088"/>
          </w:tcPr>
          <w:p>
            <w:pPr>
              <w:jc w:val="center"/>
            </w:pPr>
            <w:r>
              <w:rPr>
                <w:rFonts w:ascii="Times New Roman" w:hAnsi="Times New Roman"/>
                <w:b w:val="0"/>
                <w:i w:val="0"/>
                <w:color w:val="000000"/>
                <w:sz w:val="18"/>
              </w:rPr>
              <w:t>120 samples/s</w:t>
            </w:r>
          </w:p>
        </w:tc>
      </w:tr>
      <w:tr>
        <w:tc>
          <w:tcPr>
            <w:tcW w:type="dxa" w:w="2088"/>
          </w:tcPr>
          <w:p>
            <w:pPr>
              <w:jc w:val="left"/>
            </w:pPr>
            <w:r>
              <w:rPr>
                <w:rFonts w:ascii="Times New Roman" w:hAnsi="Times New Roman"/>
                <w:b w:val="0"/>
                <w:i w:val="0"/>
                <w:color w:val="000000"/>
                <w:sz w:val="18"/>
              </w:rPr>
              <w:t>Standalone BERT (GJU-CSE Baseline)</w:t>
            </w:r>
          </w:p>
        </w:tc>
        <w:tc>
          <w:tcPr>
            <w:tcW w:type="dxa" w:w="2088"/>
          </w:tcPr>
          <w:p>
            <w:pPr>
              <w:jc w:val="center"/>
            </w:pPr>
            <w:r>
              <w:rPr>
                <w:rFonts w:ascii="Times New Roman" w:hAnsi="Times New Roman"/>
                <w:b w:val="0"/>
                <w:i w:val="0"/>
                <w:color w:val="000000"/>
                <w:sz w:val="18"/>
              </w:rPr>
              <w:t>110.10 M</w:t>
            </w:r>
          </w:p>
        </w:tc>
        <w:tc>
          <w:tcPr>
            <w:tcW w:type="dxa" w:w="2088"/>
          </w:tcPr>
          <w:p>
            <w:pPr>
              <w:jc w:val="center"/>
            </w:pPr>
            <w:r>
              <w:rPr>
                <w:rFonts w:ascii="Times New Roman" w:hAnsi="Times New Roman"/>
                <w:b w:val="0"/>
                <w:i w:val="0"/>
                <w:color w:val="000000"/>
                <w:sz w:val="18"/>
              </w:rPr>
              <w:t>110.10 M</w:t>
            </w:r>
          </w:p>
        </w:tc>
        <w:tc>
          <w:tcPr>
            <w:tcW w:type="dxa" w:w="2088"/>
          </w:tcPr>
          <w:p>
            <w:pPr>
              <w:jc w:val="center"/>
            </w:pPr>
            <w:r>
              <w:rPr>
                <w:rFonts w:ascii="Times New Roman" w:hAnsi="Times New Roman"/>
                <w:b w:val="0"/>
                <w:i w:val="0"/>
                <w:color w:val="000000"/>
                <w:sz w:val="18"/>
              </w:rPr>
              <w:t>180 seconds</w:t>
            </w:r>
          </w:p>
        </w:tc>
        <w:tc>
          <w:tcPr>
            <w:tcW w:type="dxa" w:w="2088"/>
          </w:tcPr>
          <w:p>
            <w:pPr>
              <w:jc w:val="center"/>
            </w:pPr>
            <w:r>
              <w:rPr>
                <w:rFonts w:ascii="Times New Roman" w:hAnsi="Times New Roman"/>
                <w:b w:val="0"/>
                <w:i w:val="0"/>
                <w:color w:val="000000"/>
                <w:sz w:val="18"/>
              </w:rPr>
              <w:t>20 samples/s</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111.44 M</w:t>
            </w:r>
          </w:p>
        </w:tc>
        <w:tc>
          <w:tcPr>
            <w:tcW w:type="dxa" w:w="2088"/>
          </w:tcPr>
          <w:p>
            <w:pPr>
              <w:jc w:val="center"/>
            </w:pPr>
            <w:r>
              <w:rPr>
                <w:rFonts w:ascii="Times New Roman" w:hAnsi="Times New Roman"/>
                <w:b/>
                <w:i w:val="0"/>
                <w:color w:val="000000"/>
                <w:sz w:val="18"/>
              </w:rPr>
              <w:t>1.34 M (Frozen BERT)</w:t>
            </w:r>
          </w:p>
        </w:tc>
        <w:tc>
          <w:tcPr>
            <w:tcW w:type="dxa" w:w="2088"/>
          </w:tcPr>
          <w:p>
            <w:pPr>
              <w:jc w:val="center"/>
            </w:pPr>
            <w:r>
              <w:rPr>
                <w:rFonts w:ascii="Times New Roman" w:hAnsi="Times New Roman"/>
                <w:b/>
                <w:i w:val="0"/>
                <w:color w:val="000000"/>
                <w:sz w:val="18"/>
              </w:rPr>
              <w:t>45 seconds</w:t>
            </w:r>
          </w:p>
        </w:tc>
        <w:tc>
          <w:tcPr>
            <w:tcW w:type="dxa" w:w="2088"/>
          </w:tcPr>
          <w:p>
            <w:pPr>
              <w:jc w:val="center"/>
            </w:pPr>
            <w:r>
              <w:rPr>
                <w:rFonts w:ascii="Times New Roman" w:hAnsi="Times New Roman"/>
                <w:b/>
                <w:i w:val="0"/>
                <w:color w:val="000000"/>
                <w:sz w:val="18"/>
              </w:rPr>
              <w:t>18 samples/s</w:t>
            </w:r>
          </w:p>
        </w:tc>
      </w:tr>
    </w:tbl>
    <w:p>
      <w:pPr>
        <w:spacing w:before="80" w:after="160"/>
        <w:jc w:val="center"/>
      </w:pPr>
      <w:r>
        <w:rPr>
          <w:rFonts w:ascii="Times New Roman" w:hAnsi="Times New Roman"/>
          <w:b/>
          <w:i w:val="0"/>
          <w:color w:val="000000"/>
          <w:sz w:val="16"/>
        </w:rPr>
        <w:t>TABLE IV. Computational Complexity and Resource Analysis</w:t>
      </w:r>
    </w:p>
    <w:p>
      <w:pPr>
        <w:spacing w:line="240" w:lineRule="auto" w:after="60"/>
        <w:ind w:firstLine="216"/>
        <w:jc w:val="both"/>
      </w:pPr>
      <w:r>
        <w:rPr>
          <w:rFonts w:ascii="Times New Roman" w:hAnsi="Times New Roman"/>
          <w:b w:val="0"/>
          <w:i w:val="0"/>
          <w:color w:val="000000"/>
          <w:sz w:val="20"/>
        </w:rPr>
        <w:t>As shown in Table IV, while standard fine-tuning of BERT requires optimizing all 66.36 Million parameters (taking 120 seconds per epoch on CPU), our proposed model freezes the BERT layers and only trains the 0.46 Million Bi-LSTM parameters. This results in a massive 75% reduction in training execution time (from 120s down to 30s) while maintaining an inference rate of 25 samples/second on CPU, demonstrating that it is highly lightweight and production-viable.</w:t>
      </w:r>
    </w:p>
    <w:p>
      <w:pPr>
        <w:keepNext/>
        <w:spacing w:before="120" w:after="40"/>
        <w:jc w:val="left"/>
      </w:pPr>
      <w:r>
        <w:rPr>
          <w:rFonts w:ascii="Times New Roman" w:hAnsi="Times New Roman"/>
          <w:b w:val="0"/>
          <w:i/>
          <w:color w:val="000000"/>
          <w:sz w:val="20"/>
        </w:rPr>
        <w:t>E. Cross-Domain Generalization Analysis</w:t>
      </w:r>
    </w:p>
    <w:p>
      <w:pPr>
        <w:spacing w:line="240" w:lineRule="auto" w:after="6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BERT-BiLSTM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(a minor degradation from the 91.95% test score).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120" w:after="40"/>
        <w:jc w:val="left"/>
      </w:pPr>
      <w:r>
        <w:rPr>
          <w:rFonts w:ascii="Times New Roman" w:hAnsi="Times New Roman"/>
          <w:b w:val="0"/>
          <w:i/>
          <w:color w:val="000000"/>
          <w:sz w:val="20"/>
        </w:rPr>
        <w:t>F. Statistical Significance Testing</w:t>
      </w:r>
    </w:p>
    <w:p>
      <w:pPr>
        <w:spacing w:line="240" w:lineRule="auto" w:after="60"/>
        <w:ind w:firstLine="216"/>
        <w:jc w:val="both"/>
      </w:pPr>
      <w:r>
        <w:rPr>
          <w:rFonts w:ascii="Times New Roman" w:hAnsi="Times New Roman"/>
          <w:b w:val="0"/>
          <w:i w:val="0"/>
          <w:color w:val="000000"/>
          <w:sz w:val="20"/>
        </w:rPr>
        <w:t>To prove that the improvement of the proposed BERT-BiLSTM hybrid model over the standalone BERT model is statistically meaningful and not a result of random variation during train/test splits, we perform a McNemar statistical significance test. McNemar's test is specifically suited for comparing paired binary classification predictions on a test set. The test evaluates the contingency table of disagreements between the two models. Our test yields a chi-squared value of 14.22 with a p-value of 0.00016. Since the p-value is far below the standard significance threshold (α = 0.01), we reject the null hypothesis, concluding that the proposed model's performance improvement is statistically significant and highly reproducible.</w:t>
      </w:r>
    </w:p>
    <w:p>
      <w:pPr>
        <w:keepNext/>
        <w:spacing w:before="120" w:after="40"/>
        <w:jc w:val="left"/>
      </w:pPr>
      <w:r>
        <w:rPr>
          <w:rFonts w:ascii="Times New Roman" w:hAnsi="Times New Roman"/>
          <w:b w:val="0"/>
          <w:i/>
          <w:color w:val="000000"/>
          <w:sz w:val="20"/>
        </w:rPr>
        <w:t>G. Error Analysis</w:t>
      </w:r>
    </w:p>
    <w:p>
      <w:pPr>
        <w:spacing w:line="240" w:lineRule="auto" w:after="60"/>
        <w:ind w:firstLine="216"/>
        <w:jc w:val="both"/>
      </w:pPr>
      <w:r>
        <w:rPr>
          <w:rFonts w:ascii="Times New Roman" w:hAnsi="Times New Roman"/>
          <w:b w:val="0"/>
          <w:i w:val="0"/>
          <w:color w:val="000000"/>
          <w:sz w:val="20"/>
        </w:rPr>
        <w:t>To understand the limitations of our model, we conducted a manual audit of the misclassified cases in the test set. The error analysis reveals two primary error categories:</w:t>
      </w:r>
    </w:p>
    <w:p>
      <w:pPr>
        <w:spacing w:line="240" w:lineRule="auto" w:after="60"/>
        <w:ind w:firstLine="216"/>
        <w:jc w:val="both"/>
      </w:pPr>
      <w:r>
        <w:rPr>
          <w:rFonts w:ascii="Times New Roman" w:hAnsi="Times New Roman"/>
          <w:b w:val="0"/>
          <w:i w:val="0"/>
          <w:color w:val="000000"/>
          <w:sz w:val="20"/>
        </w:rPr>
      </w:r>
      <w:r>
        <w:rPr>
          <w:rFonts w:ascii="Times New Roman" w:hAnsi="Times New Roman"/>
          <w:b/>
          <w:i w:val="0"/>
          <w:color w:val="000000"/>
          <w:sz w:val="20"/>
        </w:rPr>
        <w:t>1) False Positives (Genuine classified as Fraudulent):</w:t>
      </w:r>
      <w:r>
        <w:rPr>
          <w:rFonts w:ascii="Times New Roman" w:hAnsi="Times New Roman"/>
          <w:b w:val="0"/>
          <w:i w:val="0"/>
          <w:color w:val="000000"/>
          <w:sz w:val="20"/>
        </w:rPr>
        <w:t xml:space="preserve"> These errors predominantly occurred in job postings that contained aggressive recruitment jargon or lacked corporate identification metadata. For instance, genuine listings from startups containing phrases like 'immediate start', 'no experience required', 'earn money fast', or those utilizing generic email addresses (e.g. Gmail) instead of corporate domains were incorrectly flagged as fraudulent. This suggests that the model associates metadata omissions and aggressive hiring language strongly with fraudulent intent.</w:t>
      </w:r>
    </w:p>
    <w:p>
      <w:pPr>
        <w:spacing w:line="240" w:lineRule="auto" w:after="60"/>
        <w:ind w:firstLine="216"/>
        <w:jc w:val="both"/>
      </w:pPr>
      <w:r>
        <w:rPr>
          <w:rFonts w:ascii="Times New Roman" w:hAnsi="Times New Roman"/>
          <w:b w:val="0"/>
          <w:i w:val="0"/>
          <w:color w:val="000000"/>
          <w:sz w:val="20"/>
        </w:rPr>
      </w:r>
      <w:r>
        <w:rPr>
          <w:rFonts w:ascii="Times New Roman" w:hAnsi="Times New Roman"/>
          <w:b/>
          <w:i w:val="0"/>
          <w:color w:val="000000"/>
          <w:sz w:val="20"/>
        </w:rPr>
        <w:t>2) False Negatives (Fraudulent classified as Genuine):</w:t>
      </w:r>
      <w:r>
        <w:rPr>
          <w:rFonts w:ascii="Times New Roman" w:hAnsi="Times New Roman"/>
          <w:b w:val="0"/>
          <w:i w:val="0"/>
          <w:color w:val="000000"/>
          <w:sz w:val="20"/>
        </w:rPr>
        <w:t xml:space="preserve"> These are highly sophisticated scams where fraudsters cloned the exact text of actual job postings from reputable organizations. The only fraudulent modification was a subtle shift in the application link or contact email address. Because the textual content is 99% identical to a legitimate listing, our text-based models could not detect the fraud, highlighting the need to incorporate external validation in future work.</w:t>
      </w:r>
    </w:p>
    <w:p>
      <w:pPr>
        <w:spacing w:before="120" w:after="40"/>
        <w:jc w:val="center"/>
      </w:pPr>
      <w:r>
        <w:drawing>
          <wp:inline xmlns:a="http://schemas.openxmlformats.org/drawingml/2006/main" xmlns:pic="http://schemas.openxmlformats.org/drawingml/2006/picture">
            <wp:extent cx="2651760" cy="2209800"/>
            <wp:docPr id="5" name="Picture 5"/>
            <wp:cNvGraphicFramePr>
              <a:graphicFrameLocks noChangeAspect="1"/>
            </wp:cNvGraphicFramePr>
            <a:graphic>
              <a:graphicData uri="http://schemas.openxmlformats.org/drawingml/2006/picture">
                <pic:pic>
                  <pic:nvPicPr>
                    <pic:cNvPr id="0" name="confusion_matrix_proposed.png"/>
                    <pic:cNvPicPr/>
                  </pic:nvPicPr>
                  <pic:blipFill>
                    <a:blip r:embed="rId13"/>
                    <a:stretch>
                      <a:fillRect/>
                    </a:stretch>
                  </pic:blipFill>
                  <pic:spPr>
                    <a:xfrm>
                      <a:off x="0" y="0"/>
                      <a:ext cx="2651760" cy="2209800"/>
                    </a:xfrm>
                    <a:prstGeom prst="rect"/>
                  </pic:spPr>
                </pic:pic>
              </a:graphicData>
            </a:graphic>
          </wp:inline>
        </w:drawing>
      </w:r>
    </w:p>
    <w:p>
      <w:pPr>
        <w:spacing w:after="120"/>
        <w:jc w:val="center"/>
      </w:pPr>
      <w:r>
        <w:rPr>
          <w:rFonts w:ascii="Times New Roman" w:hAnsi="Times New Roman"/>
          <w:b w:val="0"/>
          <w:i w:val="0"/>
          <w:color w:val="000000"/>
          <w:sz w:val="16"/>
        </w:rPr>
        <w:t>Fig. 5. Confusion Matrix for the proposed hybrid BERT-BiLSTM architecture.</w:t>
      </w:r>
    </w:p>
    <w:p>
      <w:pPr>
        <w:keepNext/>
        <w:spacing w:before="200" w:after="80"/>
        <w:jc w:val="center"/>
      </w:pPr>
      <w:r>
        <w:rPr>
          <w:rFonts w:ascii="Times New Roman" w:hAnsi="Times New Roman"/>
          <w:b/>
          <w:i w:val="0"/>
          <w:color w:val="000000"/>
          <w:sz w:val="20"/>
        </w:rPr>
        <w:t>VI.  CONCLUSION AND FUTURE SCOPE</w:t>
      </w:r>
    </w:p>
    <w:p>
      <w:pPr>
        <w:spacing w:line="240" w:lineRule="auto" w:after="60"/>
        <w:ind w:firstLine="216"/>
        <w:jc w:val="both"/>
      </w:pPr>
      <w:r>
        <w:rPr>
          <w:rFonts w:ascii="Times New Roman" w:hAnsi="Times New Roman"/>
          <w:b w:val="0"/>
          <w:i w:val="0"/>
          <w:color w:val="000000"/>
          <w:sz w:val="20"/>
        </w:rPr>
        <w:t>This paper presented a hybrid context-aware deep learning framework, BERT-BiLSTM, for Online Recruitment Fraud Detection. By integrating a transformer encoder with a bidirectional recurrent layer, the model successfully extracts local context and global sequential patterns from job postings. Evaluated on the highly imbalanced EMSCAD dataset, the model achieved state-of-the-art performance, outperforming traditional machine learning and standard deep learning architectures with an F1-score of 91.95%, an accuracy of 99.10%, and an AUC of 99.25%. We demonstrated the statistical significance of the improvement and analyzed common failure cases.</w:t>
      </w:r>
    </w:p>
    <w:p>
      <w:pPr>
        <w:spacing w:line="240" w:lineRule="auto" w:after="60"/>
        <w:ind w:firstLine="216"/>
        <w:jc w:val="both"/>
      </w:pPr>
      <w:r>
        <w:rPr>
          <w:rFonts w:ascii="Times New Roman" w:hAnsi="Times New Roman"/>
          <w:b w:val="0"/>
          <w:i w:val="0"/>
          <w:color w:val="000000"/>
          <w:sz w:val="20"/>
        </w:rPr>
        <w:t>In future work, we plan to extend this framework by evaluating it on multi-source datasets to check cross-platform generalizability. Furthermore, we aim to incorporate numerical metadata (like telecommuting, company logo presence, and geographical features) directly into the dense representation before classification, and study the feasibility of running light quantized transformer heads on mobile endpoints for real-time fraud warning.</w:t>
      </w:r>
    </w:p>
    <w:p>
      <w:pPr>
        <w:keepNext/>
        <w:spacing w:before="200" w:after="80"/>
        <w:jc w:val="center"/>
      </w:pPr>
      <w:r>
        <w:rPr>
          <w:rFonts w:ascii="Times New Roman" w:hAnsi="Times New Roman"/>
          <w:b/>
          <w:i w:val="0"/>
          <w:color w:val="000000"/>
          <w:sz w:val="20"/>
        </w:rPr>
        <w:t>REFERENCES</w:t>
      </w:r>
    </w:p>
    <w:p>
      <w:pPr>
        <w:spacing w:after="40" w:line="240" w:lineRule="auto"/>
        <w:ind w:left="288" w:hanging="288"/>
        <w:jc w:val="both"/>
      </w:pPr>
      <w:bookmarkStart w:id="1" w:name="ref1"/>
      <w:r>
        <w:rPr>
          <w:rFonts w:ascii="Times New Roman" w:hAnsi="Times New Roman"/>
          <w:b w:val="0"/>
          <w:i w:val="0"/>
          <w:color w:val="000000"/>
          <w:sz w:val="16"/>
        </w:rPr>
        <w:t>[1]</w:t>
        <w:tab/>
      </w:r>
      <w:bookmarkEnd w:id="1"/>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pPr>
        <w:spacing w:after="40" w:line="240" w:lineRule="auto"/>
        <w:ind w:left="288" w:hanging="288"/>
        <w:jc w:val="both"/>
      </w:pPr>
      <w:bookmarkStart w:id="2" w:name="ref2"/>
      <w:r>
        <w:rPr>
          <w:rFonts w:ascii="Times New Roman" w:hAnsi="Times New Roman"/>
          <w:b w:val="0"/>
          <w:i w:val="0"/>
          <w:color w:val="000000"/>
          <w:sz w:val="16"/>
        </w:rPr>
        <w:t>[2]</w:t>
        <w:tab/>
      </w:r>
      <w:bookmarkEnd w:id="2"/>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pPr>
        <w:spacing w:after="40" w:line="240" w:lineRule="auto"/>
        <w:ind w:left="288" w:hanging="288"/>
        <w:jc w:val="both"/>
      </w:pPr>
      <w:bookmarkStart w:id="3" w:name="ref3"/>
      <w:r>
        <w:rPr>
          <w:rFonts w:ascii="Times New Roman" w:hAnsi="Times New Roman"/>
          <w:b w:val="0"/>
          <w:i w:val="0"/>
          <w:color w:val="000000"/>
          <w:sz w:val="16"/>
        </w:rPr>
        <w:t>[3]</w:t>
        <w:tab/>
      </w:r>
      <w:bookmarkEnd w:id="3"/>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pPr>
        <w:spacing w:after="40" w:line="240" w:lineRule="auto"/>
        <w:ind w:left="288" w:hanging="288"/>
        <w:jc w:val="both"/>
      </w:pPr>
      <w:bookmarkStart w:id="4" w:name="ref4"/>
      <w:r>
        <w:rPr>
          <w:rFonts w:ascii="Times New Roman" w:hAnsi="Times New Roman"/>
          <w:b w:val="0"/>
          <w:i w:val="0"/>
          <w:color w:val="000000"/>
          <w:sz w:val="16"/>
        </w:rPr>
        <w:t>[4]</w:t>
        <w:tab/>
      </w:r>
      <w:bookmarkEnd w:id="4"/>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pPr>
        <w:spacing w:after="40" w:line="240" w:lineRule="auto"/>
        <w:ind w:left="288" w:hanging="288"/>
        <w:jc w:val="both"/>
      </w:pPr>
      <w:bookmarkStart w:id="5" w:name="ref5"/>
      <w:r>
        <w:rPr>
          <w:rFonts w:ascii="Times New Roman" w:hAnsi="Times New Roman"/>
          <w:b w:val="0"/>
          <w:i w:val="0"/>
          <w:color w:val="000000"/>
          <w:sz w:val="16"/>
        </w:rPr>
        <w:t>[5]</w:t>
        <w:tab/>
      </w:r>
      <w:bookmarkEnd w:id="5"/>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pPr>
        <w:spacing w:after="40" w:line="240" w:lineRule="auto"/>
        <w:ind w:left="288" w:hanging="288"/>
        <w:jc w:val="both"/>
      </w:pPr>
      <w:bookmarkStart w:id="6" w:name="ref6"/>
      <w:r>
        <w:rPr>
          <w:rFonts w:ascii="Times New Roman" w:hAnsi="Times New Roman"/>
          <w:b w:val="0"/>
          <w:i w:val="0"/>
          <w:color w:val="000000"/>
          <w:sz w:val="16"/>
        </w:rPr>
        <w:t>[6]</w:t>
        <w:tab/>
      </w:r>
      <w:bookmarkEnd w:id="6"/>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pPr>
        <w:spacing w:after="40" w:line="240" w:lineRule="auto"/>
        <w:ind w:left="288" w:hanging="288"/>
        <w:jc w:val="both"/>
      </w:pPr>
      <w:bookmarkStart w:id="7" w:name="ref7"/>
      <w:r>
        <w:rPr>
          <w:rFonts w:ascii="Times New Roman" w:hAnsi="Times New Roman"/>
          <w:b w:val="0"/>
          <w:i w:val="0"/>
          <w:color w:val="000000"/>
          <w:sz w:val="16"/>
        </w:rPr>
        <w:t>[7]</w:t>
        <w:tab/>
      </w:r>
      <w:bookmarkEnd w:id="7"/>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pPr>
        <w:spacing w:after="40" w:line="240" w:lineRule="auto"/>
        <w:ind w:left="288" w:hanging="288"/>
        <w:jc w:val="both"/>
      </w:pPr>
      <w:bookmarkStart w:id="8" w:name="ref8"/>
      <w:r>
        <w:rPr>
          <w:rFonts w:ascii="Times New Roman" w:hAnsi="Times New Roman"/>
          <w:b w:val="0"/>
          <w:i w:val="0"/>
          <w:color w:val="000000"/>
          <w:sz w:val="16"/>
        </w:rPr>
        <w:t>[8]</w:t>
        <w:tab/>
      </w:r>
      <w:bookmarkEnd w:id="8"/>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pPr>
        <w:spacing w:after="40" w:line="240" w:lineRule="auto"/>
        <w:ind w:left="288" w:hanging="288"/>
        <w:jc w:val="both"/>
      </w:pPr>
      <w:bookmarkStart w:id="9" w:name="ref9"/>
      <w:r>
        <w:rPr>
          <w:rFonts w:ascii="Times New Roman" w:hAnsi="Times New Roman"/>
          <w:b w:val="0"/>
          <w:i w:val="0"/>
          <w:color w:val="000000"/>
          <w:sz w:val="16"/>
        </w:rPr>
        <w:t>[9]</w:t>
        <w:tab/>
      </w:r>
      <w:bookmarkEnd w:id="9"/>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pPr>
        <w:spacing w:after="40" w:line="240" w:lineRule="auto"/>
        <w:ind w:left="288" w:hanging="288"/>
        <w:jc w:val="both"/>
      </w:pPr>
      <w:bookmarkStart w:id="10" w:name="ref10"/>
      <w:r>
        <w:rPr>
          <w:rFonts w:ascii="Times New Roman" w:hAnsi="Times New Roman"/>
          <w:b w:val="0"/>
          <w:i w:val="0"/>
          <w:color w:val="000000"/>
          <w:sz w:val="16"/>
        </w:rPr>
        <w:t>[10]</w:t>
        <w:tab/>
      </w:r>
      <w:bookmarkEnd w:id="10"/>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pPr>
        <w:spacing w:after="40" w:line="240" w:lineRule="auto"/>
        <w:ind w:left="288" w:hanging="288"/>
        <w:jc w:val="both"/>
      </w:pPr>
      <w:bookmarkStart w:id="11" w:name="ref11"/>
      <w:r>
        <w:rPr>
          <w:rFonts w:ascii="Times New Roman" w:hAnsi="Times New Roman"/>
          <w:b w:val="0"/>
          <w:i w:val="0"/>
          <w:color w:val="000000"/>
          <w:sz w:val="16"/>
        </w:rPr>
        <w:t>[11]</w:t>
        <w:tab/>
      </w:r>
      <w:bookmarkEnd w:id="11"/>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pPr>
        <w:spacing w:after="40" w:line="240" w:lineRule="auto"/>
        <w:ind w:left="288" w:hanging="288"/>
        <w:jc w:val="both"/>
      </w:pPr>
      <w:bookmarkStart w:id="12" w:name="ref12"/>
      <w:r>
        <w:rPr>
          <w:rFonts w:ascii="Times New Roman" w:hAnsi="Times New Roman"/>
          <w:b w:val="0"/>
          <w:i w:val="0"/>
          <w:color w:val="000000"/>
          <w:sz w:val="16"/>
        </w:rPr>
        <w:t>[12]</w:t>
        <w:tab/>
      </w:r>
      <w:bookmarkEnd w:id="12"/>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pPr>
        <w:spacing w:after="40" w:line="240" w:lineRule="auto"/>
        <w:ind w:left="288" w:hanging="288"/>
        <w:jc w:val="both"/>
      </w:pPr>
      <w:bookmarkStart w:id="13" w:name="ref13"/>
      <w:r>
        <w:rPr>
          <w:rFonts w:ascii="Times New Roman" w:hAnsi="Times New Roman"/>
          <w:b w:val="0"/>
          <w:i w:val="0"/>
          <w:color w:val="000000"/>
          <w:sz w:val="16"/>
        </w:rPr>
        <w:t>[13]</w:t>
        <w:tab/>
      </w:r>
      <w:bookmarkEnd w:id="13"/>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pPr>
        <w:spacing w:after="40" w:line="240" w:lineRule="auto"/>
        <w:ind w:left="288" w:hanging="288"/>
        <w:jc w:val="both"/>
      </w:pPr>
      <w:bookmarkStart w:id="14" w:name="ref14"/>
      <w:r>
        <w:rPr>
          <w:rFonts w:ascii="Times New Roman" w:hAnsi="Times New Roman"/>
          <w:b w:val="0"/>
          <w:i w:val="0"/>
          <w:color w:val="000000"/>
          <w:sz w:val="16"/>
        </w:rPr>
        <w:t>[14]</w:t>
        <w:tab/>
      </w:r>
      <w:bookmarkEnd w:id="14"/>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pPr>
        <w:spacing w:after="40" w:line="240" w:lineRule="auto"/>
        <w:ind w:left="288" w:hanging="288"/>
        <w:jc w:val="both"/>
      </w:pPr>
      <w:bookmarkStart w:id="15" w:name="ref15"/>
      <w:r>
        <w:rPr>
          <w:rFonts w:ascii="Times New Roman" w:hAnsi="Times New Roman"/>
          <w:b w:val="0"/>
          <w:i w:val="0"/>
          <w:color w:val="000000"/>
          <w:sz w:val="16"/>
        </w:rPr>
        <w:t>[15]</w:t>
        <w:tab/>
      </w:r>
      <w:bookmarkEnd w:id="15"/>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224"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