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Context-Aware BERT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Following standard macro-averaged evaluation on the EMSCAD dataset, the proposed model achieves a precision of 0.95, recall of 0.94, F1-score of 0.95 (94.58%), accuracy of 0.99 (99.02%), and a ROC-AUC of 0.99 (99.22%). This configuration provides a stable and interpretable classification pipeline for recruitment board deployment.</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utilizes bidirectional self-attention to generate context-aware token representations. However, standard BERT classifiers function as black-box systems, making it difficult to understand why a particular listing was flagged. This lack of interpretability is a major barrier to deploying these systems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While these transformer architectures achieve good accuracy, they operate as black boxes and are highly sensitive to dataset preprocessing artifacts. Our work addresses these limitations by introducing a robust NaN-free preprocessing pipeline and token-level explainability using SHAP.</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3769394"/>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651760" cy="3769394"/>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Explainable BERT model.</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Classification Model</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80" w:after="8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80" w:after="8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6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160" w:after="60"/>
        <w:jc w:val="left"/>
      </w:pPr>
      <w:r>
        <w:rPr>
          <w:rFonts w:ascii="Times New Roman" w:hAnsi="Times New Roman"/>
          <w:b w:val="0"/>
          <w:i/>
          <w:color w:val="000000"/>
          <w:sz w:val="20"/>
        </w:rPr>
        <w:t>C. Class-Weighted Loss</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160" w:after="60"/>
        <w:jc w:val="left"/>
      </w:pPr>
      <w:r>
        <w:rPr>
          <w:rFonts w:ascii="Times New Roman" w:hAnsi="Times New Roman"/>
          <w:b w:val="0"/>
          <w:i/>
          <w:color w:val="000000"/>
          <w:sz w:val="20"/>
        </w:rPr>
        <w:t>D. SHAP Explainability</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and (3) Standard Bi-LSTM. The baseline configurations represent standard implementations for imbalanced text classification.</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all models on the test set is summarized in Table I. Following benchmark reporting conventions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macro-averaged Precision (P), Recall (R), and F1-score (F1), alongside overall Accuracy and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Standard 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0.88</w:t>
            </w:r>
          </w:p>
        </w:tc>
      </w:tr>
      <w:tr>
        <w:tc>
          <w:tcPr>
            <w:tcW w:type="dxa" w:w="1740"/>
          </w:tcPr>
          <w:p>
            <w:pPr>
              <w:jc w:val="left"/>
            </w:pPr>
            <w:r>
              <w:rPr>
                <w:rFonts w:ascii="Times New Roman" w:hAnsi="Times New Roman"/>
                <w:b/>
                <w:i w:val="0"/>
                <w:color w:val="000000"/>
                <w:sz w:val="18"/>
              </w:rPr>
              <w:t>Proposed BERT Model</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As seen in Table I, traditional machine learning models show lower F1-scores. Random Forest achieves high precision but lower recall on fraud, while Logistic Regression suffers from a lower precision. The standard Bi-LSTM baseline obtains a macro F1-score of 0.90. The proposed Standalone BERT model achieves a macro precision of </w:t>
      </w:r>
      <w:r>
        <w:rPr>
          <w:rFonts w:ascii="Times New Roman" w:hAnsi="Times New Roman"/>
          <w:b/>
          <w:i w:val="0"/>
          <w:color w:val="000000"/>
          <w:sz w:val="20"/>
        </w:rPr>
        <w:t>0.95</w:t>
      </w:r>
      <w:r>
        <w:rPr>
          <w:rFonts w:ascii="Times New Roman" w:hAnsi="Times New Roman"/>
          <w:b w:val="0"/>
          <w:i w:val="0"/>
          <w:color w:val="000000"/>
          <w:sz w:val="20"/>
        </w:rPr>
        <w:t xml:space="preserve"> (95.48%), macro recall of </w:t>
      </w:r>
      <w:r>
        <w:rPr>
          <w:rFonts w:ascii="Times New Roman" w:hAnsi="Times New Roman"/>
          <w:b/>
          <w:i w:val="0"/>
          <w:color w:val="000000"/>
          <w:sz w:val="20"/>
        </w:rPr>
        <w:t>0.94</w:t>
      </w:r>
      <w:r>
        <w:rPr>
          <w:rFonts w:ascii="Times New Roman" w:hAnsi="Times New Roman"/>
          <w:b w:val="0"/>
          <w:i w:val="0"/>
          <w:color w:val="000000"/>
          <w:sz w:val="20"/>
        </w:rPr>
        <w:t xml:space="preserve"> (93.72%), macro F1-score of </w:t>
      </w:r>
      <w:r>
        <w:rPr>
          <w:rFonts w:ascii="Times New Roman" w:hAnsi="Times New Roman"/>
          <w:b/>
          <w:i w:val="0"/>
          <w:color w:val="000000"/>
          <w:sz w:val="20"/>
        </w:rPr>
        <w:t>0.95</w:t>
      </w:r>
      <w:r>
        <w:rPr>
          <w:rFonts w:ascii="Times New Roman" w:hAnsi="Times New Roman"/>
          <w:b w:val="0"/>
          <w:i w:val="0"/>
          <w:color w:val="000000"/>
          <w:sz w:val="20"/>
        </w:rPr>
        <w:t xml:space="preserve"> (94.58%), accuracy of </w:t>
      </w:r>
      <w:r>
        <w:rPr>
          <w:rFonts w:ascii="Times New Roman" w:hAnsi="Times New Roman"/>
          <w:b/>
          <w:i w:val="0"/>
          <w:color w:val="000000"/>
          <w:sz w:val="20"/>
        </w:rPr>
        <w:t>0.99</w:t>
      </w:r>
      <w:r>
        <w:rPr>
          <w:rFonts w:ascii="Times New Roman" w:hAnsi="Times New Roman"/>
          <w:b w:val="0"/>
          <w:i w:val="0"/>
          <w:color w:val="000000"/>
          <w:sz w:val="20"/>
        </w:rPr>
        <w:t xml:space="preserve"> (99.02%), and AUC of </w:t>
      </w:r>
      <w:r>
        <w:rPr>
          <w:rFonts w:ascii="Times New Roman" w:hAnsi="Times New Roman"/>
          <w:b/>
          <w:i w:val="0"/>
          <w:color w:val="000000"/>
          <w:sz w:val="20"/>
        </w:rPr>
        <w:t>0.99</w:t>
      </w:r>
      <w:r>
        <w:rPr>
          <w:rFonts w:ascii="Times New Roman" w:hAnsi="Times New Roman"/>
          <w:b w:val="0"/>
          <w:i w:val="0"/>
          <w:color w:val="000000"/>
          <w:sz w:val="20"/>
        </w:rPr>
        <w:t xml:space="preserve"> (99.22%), outperforming the original paper's reported macro F1-score of 0.93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w:t>
      </w:r>
    </w:p>
    <w:p>
      <w:pPr>
        <w:keepNext/>
        <w:spacing w:before="120" w:after="40"/>
        <w:jc w:val="center"/>
      </w:pPr>
      <w:r>
        <w:drawing>
          <wp:inline xmlns:a="http://schemas.openxmlformats.org/drawingml/2006/main" xmlns:pic="http://schemas.openxmlformats.org/drawingml/2006/picture">
            <wp:extent cx="2651760" cy="2075290"/>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75290"/>
                    </a:xfrm>
                    <a:prstGeom prst="rect"/>
                  </pic:spPr>
                </pic:pic>
              </a:graphicData>
            </a:graphic>
          </wp:inline>
        </w:drawing>
      </w:r>
    </w:p>
    <w:p>
      <w:pPr>
        <w:spacing w:after="120"/>
        <w:jc w:val="center"/>
      </w:pPr>
      <w:r>
        <w:rPr>
          <w:rFonts w:ascii="Times New Roman" w:hAnsi="Times New Roman"/>
          <w:b w:val="0"/>
          <w:i w:val="0"/>
          <w:color w:val="000000"/>
          <w:sz w:val="16"/>
        </w:rPr>
        <w:t>Fig. 2. ROC Curves comparison on the test set.</w:t>
      </w:r>
    </w:p>
    <w:p>
      <w:pPr>
        <w:keepNext/>
        <w:spacing w:before="160" w:after="60"/>
        <w:jc w:val="left"/>
      </w:pPr>
      <w:r>
        <w:rPr>
          <w:rFonts w:ascii="Times New Roman" w:hAnsi="Times New Roman"/>
          <w:b w:val="0"/>
          <w:i/>
          <w:color w:val="000000"/>
          <w:sz w:val="20"/>
        </w:rPr>
        <w:t>B. Cross-Domain Generalization Analysis</w:t>
      </w:r>
    </w:p>
    <w:p>
      <w:pPr>
        <w:spacing w:line="252" w:lineRule="auto" w:after="6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160" w:after="60"/>
        <w:jc w:val="left"/>
      </w:pPr>
      <w:r>
        <w:rPr>
          <w:rFonts w:ascii="Times New Roman" w:hAnsi="Times New Roman"/>
          <w:b w:val="0"/>
          <w:i/>
          <w:color w:val="000000"/>
          <w:sz w:val="20"/>
        </w:rPr>
        <w:t>C. Statistical Significance Testing</w:t>
      </w:r>
    </w:p>
    <w:p>
      <w:pPr>
        <w:spacing w:line="252" w:lineRule="auto" w:after="6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160" w:after="60"/>
        <w:jc w:val="left"/>
      </w:pPr>
      <w:r>
        <w:rPr>
          <w:rFonts w:ascii="Times New Roman" w:hAnsi="Times New Roman"/>
          <w:b w:val="0"/>
          <w:i/>
          <w:color w:val="000000"/>
          <w:sz w:val="20"/>
        </w:rPr>
        <w:t>D. Explainability Analysis using SHAP</w:t>
      </w:r>
    </w:p>
    <w:p>
      <w:pPr>
        <w:spacing w:line="252" w:lineRule="auto" w:after="6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E. Error Analysis</w:t>
      </w:r>
    </w:p>
    <w:p>
      <w:pPr>
        <w:spacing w:line="252" w:lineRule="auto" w:after="6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BERT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