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C57"/>
          <w:sz w:val="26"/>
        </w:rPr>
        <w:t>International Conference on Artificial Intelligence and Emerging Technology 3.0</w:t>
        <w:br/>
        <w:t>(AISUMMIT-2026)</w:t>
        <w:br/>
      </w:r>
      <w:r>
        <w:rPr>
          <w:b/>
          <w:color w:val="B42828"/>
          <w:sz w:val="24"/>
        </w:rPr>
        <w:t>POINT-BY-POINT RESPONSE TO REVIEWER COMMENTS</w:t>
        <w:br/>
      </w:r>
    </w:p>
    <w:tbl>
      <w:tblPr>
        <w:tblW w:type="auto" w:w="0"/>
        <w:jc w:val="center"/>
        <w:tblLayout w:type="fixed"/>
        <w:tblLook w:firstColumn="1" w:firstRow="1" w:lastColumn="0" w:lastRow="0" w:noHBand="0" w:noVBand="1" w:val="04A0"/>
      </w:tblPr>
      <w:tblGrid>
        <w:gridCol w:w="4680"/>
        <w:gridCol w:w="4680"/>
      </w:tblGrid>
      <w:tr>
        <w:tc>
          <w:tcPr>
            <w:tcW w:type="dxa" w:w="2592"/>
            <w:shd w:fill="F0F4F8"/>
            <w:tcMar>
              <w:top w:w="80" w:type="dxa"/>
              <w:bottom w:w="80" w:type="dxa"/>
              <w:left w:w="120" w:type="dxa"/>
              <w:right w:w="120" w:type="dxa"/>
            </w:tcMar>
          </w:tcPr>
          <w:p>
            <w:pPr>
              <w:spacing w:before="40" w:after="40"/>
            </w:pPr>
            <w:r>
              <w:rPr>
                <w:b/>
                <w:color w:val="102C57"/>
              </w:rPr>
              <w:t>Paper ID:</w:t>
            </w:r>
          </w:p>
        </w:tc>
        <w:tc>
          <w:tcPr>
            <w:tcW w:type="dxa" w:w="6768"/>
            <w:shd w:fill="FAFAFA"/>
            <w:tcMar>
              <w:top w:w="80" w:type="dxa"/>
              <w:bottom w:w="80" w:type="dxa"/>
              <w:left w:w="120" w:type="dxa"/>
              <w:right w:w="120" w:type="dxa"/>
            </w:tcMar>
          </w:tcPr>
          <w:p>
            <w:pPr>
              <w:spacing w:before="40" w:after="40"/>
            </w:pPr>
            <w:r>
              <w:rPr>
                <w:b/>
              </w:rPr>
              <w:t>2259</w:t>
            </w:r>
          </w:p>
        </w:tc>
      </w:tr>
      <w:tr>
        <w:tc>
          <w:tcPr>
            <w:tcW w:type="dxa" w:w="2592"/>
            <w:shd w:fill="F0F4F8"/>
            <w:tcMar>
              <w:top w:w="80" w:type="dxa"/>
              <w:bottom w:w="80" w:type="dxa"/>
              <w:left w:w="120" w:type="dxa"/>
              <w:right w:w="120" w:type="dxa"/>
            </w:tcMar>
          </w:tcPr>
          <w:p>
            <w:pPr>
              <w:spacing w:before="40" w:after="40"/>
            </w:pPr>
            <w:r>
              <w:rPr>
                <w:b/>
                <w:color w:val="102C57"/>
              </w:rPr>
              <w:t>Paper Title:</w:t>
            </w:r>
          </w:p>
        </w:tc>
        <w:tc>
          <w:tcPr>
            <w:tcW w:type="dxa" w:w="6768"/>
            <w:shd w:fill="FAFAFA"/>
            <w:tcMar>
              <w:top w:w="80" w:type="dxa"/>
              <w:bottom w:w="80" w:type="dxa"/>
              <w:left w:w="120" w:type="dxa"/>
              <w:right w:w="120" w:type="dxa"/>
            </w:tcMar>
          </w:tcPr>
          <w:p>
            <w:pPr>
              <w:spacing w:before="40" w:after="40"/>
            </w:pPr>
            <w:r>
              <w:t>An Explainable and Sequence-Preserving BERT-BiLSTM Framework for Online Recruitment Fraud Detection</w:t>
            </w:r>
          </w:p>
        </w:tc>
      </w:tr>
      <w:tr>
        <w:tc>
          <w:tcPr>
            <w:tcW w:type="dxa" w:w="2592"/>
            <w:shd w:fill="F0F4F8"/>
            <w:tcMar>
              <w:top w:w="80" w:type="dxa"/>
              <w:bottom w:w="80" w:type="dxa"/>
              <w:left w:w="120" w:type="dxa"/>
              <w:right w:w="120" w:type="dxa"/>
            </w:tcMar>
          </w:tcPr>
          <w:p>
            <w:pPr>
              <w:spacing w:before="40" w:after="40"/>
            </w:pPr>
            <w:r>
              <w:rPr>
                <w:b/>
                <w:color w:val="102C57"/>
              </w:rPr>
              <w:t>Authors:</w:t>
            </w:r>
          </w:p>
        </w:tc>
        <w:tc>
          <w:tcPr>
            <w:tcW w:type="dxa" w:w="6768"/>
            <w:shd w:fill="FAFAFA"/>
            <w:tcMar>
              <w:top w:w="80" w:type="dxa"/>
              <w:bottom w:w="80" w:type="dxa"/>
              <w:left w:w="120" w:type="dxa"/>
              <w:right w:w="120" w:type="dxa"/>
            </w:tcMar>
          </w:tcPr>
          <w:p>
            <w:pPr>
              <w:spacing w:before="40" w:after="40"/>
            </w:pPr>
            <w:r>
              <w:t>Yadav Akhilesh Ramavdhesh, Sunil Kumar</w:t>
            </w:r>
          </w:p>
        </w:tc>
      </w:tr>
      <w:tr>
        <w:tc>
          <w:tcPr>
            <w:tcW w:type="dxa" w:w="2592"/>
            <w:shd w:fill="F0F4F8"/>
            <w:tcMar>
              <w:top w:w="80" w:type="dxa"/>
              <w:bottom w:w="80" w:type="dxa"/>
              <w:left w:w="120" w:type="dxa"/>
              <w:right w:w="120" w:type="dxa"/>
            </w:tcMar>
          </w:tcPr>
          <w:p>
            <w:pPr>
              <w:spacing w:before="40" w:after="40"/>
            </w:pPr>
            <w:r>
              <w:rPr>
                <w:b/>
                <w:color w:val="102C57"/>
              </w:rPr>
              <w:t>Affiliation:</w:t>
            </w:r>
          </w:p>
        </w:tc>
        <w:tc>
          <w:tcPr>
            <w:tcW w:type="dxa" w:w="6768"/>
            <w:shd w:fill="FAFAFA"/>
            <w:tcMar>
              <w:top w:w="80" w:type="dxa"/>
              <w:bottom w:w="80" w:type="dxa"/>
              <w:left w:w="120" w:type="dxa"/>
              <w:right w:w="120" w:type="dxa"/>
            </w:tcMar>
          </w:tcPr>
          <w:p>
            <w:pPr>
              <w:spacing w:before="40" w:after="40"/>
            </w:pPr>
            <w:r>
              <w:t>Department of Mathematics, Chandigarh University, Mohali 140413, Punjab, India</w:t>
            </w:r>
          </w:p>
        </w:tc>
      </w:tr>
    </w:tbl>
    <w:p>
      <w:pPr>
        <w:spacing w:after="120"/>
      </w:pPr>
    </w:p>
    <w:p>
      <w:pPr>
        <w:spacing w:line="276" w:lineRule="auto" w:after="240"/>
      </w:pPr>
      <w:r>
        <w:t>Dear Conference Chairs, Technical Program Committee, and Respected Reviewers,</w:t>
        <w:br/>
        <w:br/>
        <w:t>The authors sincerely thank the Technical Program Committee and the reviewers for their thorough, constructive, and encouraging feedback on our manuscript (Paper ID: 2259). We deeply appreciate the opportunity to revise and improve our paper. We have carefully reviewed all comments and incorporated comprehensive improvements into the revised manuscript.</w:t>
        <w:br/>
        <w:br/>
        <w:t xml:space="preserve">In accordance with standard conference revision guidelines, all modifications, additions, and clarifications have been clearly marked in </w:t>
      </w:r>
      <w:r>
        <w:rPr>
          <w:b/>
          <w:color w:val="0033CC"/>
        </w:rPr>
        <w:t>BLUE font</w:t>
      </w:r>
      <w:r>
        <w:t xml:space="preserve"> throughout the revised manuscript. Below is our detailed, point-by-point response explaining how each comment has been addressed, including exact references to the corresponding revised sections, tables, and figures.</w:t>
      </w:r>
    </w:p>
    <w:p>
      <w:pPr>
        <w:spacing w:before="320" w:after="120"/>
      </w:pPr>
      <w:r>
        <w:rPr>
          <w:b/>
          <w:color w:val="102C57"/>
          <w:sz w:val="24"/>
        </w:rPr>
        <w:t>RESPONSE TO REVIEWER 1 COMMENTS</w:t>
      </w:r>
    </w:p>
    <w:p>
      <w:pPr>
        <w:spacing w:before="200" w:after="80"/>
      </w:pPr>
      <w:r>
        <w:rPr>
          <w:b/>
          <w:color w:val="B42828"/>
        </w:rPr>
        <w:t xml:space="preserve">Comment 1.1: </w:t>
      </w:r>
      <w:r>
        <w:rPr>
          <w:i/>
          <w:color w:val="323232"/>
        </w:rPr>
        <w:t>"Clearly explain the motivation and novelty of the proposed method and how it differs from existing approaches."</w:t>
      </w:r>
    </w:p>
    <w:p>
      <w:pPr>
        <w:spacing w:line="276" w:lineRule="auto" w:before="40" w:after="120"/>
      </w:pPr>
      <w:r>
        <w:rPr>
          <w:b/>
          <w:color w:val="006633"/>
        </w:rPr>
        <w:t xml:space="preserve">Response: </w:t>
      </w:r>
      <w:r>
        <w:t>We thank the reviewer for highlighting the need for explicit articulation of our motivation and technical novelty. In response, we have expanded Section I (Introduction) and Section III (Proposed Methodology) to explicitly contrast our framework against both traditional machine learning models and state-of-the-art transformer baselines (specifically Fraud-BERT [1]).</w:t>
        <w:br/>
        <w:br/>
        <w:t>Technical Differentiation &amp; Novelty:</w:t>
        <w:br/>
        <w:t>1. Sequence Preservation vs. Single Token Bottleneck: Traditional transformer classifiers (including Fraud-BERT [1]) discard token-level sequential states and pass only the isolated [CLS] token vector to a linear head. In contrast, our framework preserves the full contextual hidden state matrix (H in R^(B x 512 x 768)) across all 512 tokens and feeds it to a 2-layer Bidirectional LSTM network. This preserves grammatical syntax, narrative progression, and subtle fraudulent linguistic signals across multi-sentence postings.</w:t>
        <w:br/>
        <w:t>2. Handling Severe Data Imbalance: Real-world recruitment fraud represents less than 5% of data. While prior works rely on unweighted cross-entropy or ad-hoc oversampling, we integrate an imbalance-aware class-weighted loss function that dynamically penalizes false negatives on minority fraud instances without generating excessive false alarms.</w:t>
        <w:br/>
        <w:t>3. Resolving the Black-Box Dilemma: Unlike existing deep learning ORF models that offer no reasoning for platform administrators, we integrate post-hoc Explainable AI using KernelSHAP to generate exact token-level attribution scores, providing full operational interpretability.</w:t>
      </w:r>
    </w:p>
    <w:p>
      <w:pPr>
        <w:spacing w:line="276" w:lineRule="auto" w:before="40" w:after="200"/>
      </w:pPr>
      <w:r>
        <w:rPr>
          <w:b/>
          <w:color w:val="0033CC"/>
        </w:rPr>
        <w:t xml:space="preserve">Modifications in Revised Manuscript: </w:t>
      </w:r>
      <w:r>
        <w:rPr>
          <w:color w:val="0033CC"/>
        </w:rPr>
        <w:t>Section I (Introduction, p. 1-2) has been revised with an explicit contribution breakdown, and Section III (p. 2) has been updated with detailed mathematical and structural formulations of the sequence-preserving pipeline (marked in blue).</w:t>
      </w:r>
    </w:p>
    <w:p>
      <w:pPr>
        <w:spacing w:before="200" w:after="80"/>
      </w:pPr>
      <w:r>
        <w:rPr>
          <w:b/>
          <w:color w:val="B42828"/>
        </w:rPr>
        <w:t xml:space="preserve">Comment 1.2: </w:t>
      </w:r>
      <w:r>
        <w:rPr>
          <w:i/>
          <w:color w:val="323232"/>
        </w:rPr>
        <w:t>"Strengthen the experimental results by comparing them with recent methods and including an ablation study."</w:t>
      </w:r>
    </w:p>
    <w:p>
      <w:pPr>
        <w:spacing w:line="276" w:lineRule="auto" w:before="40" w:after="120"/>
      </w:pPr>
      <w:r>
        <w:rPr>
          <w:b/>
          <w:color w:val="006633"/>
        </w:rPr>
        <w:t xml:space="preserve">Response: </w:t>
      </w:r>
      <w:r>
        <w:t>We sincerely thank the reviewer for this constructive recommendation. We would like to kindly direct the reviewer's attention to Table I and Table II, which already form the core of our empirical evaluation, and we have further strengthened both sections in the revised manuscript:</w:t>
        <w:br/>
        <w:br/>
        <w:t>1. Comprehensive Benchmark Comparison (Table I): We evaluate our model against recent baseline methods spanning traditional ML (Logistic Regression, Random Forest), deep sequence models (Bi-LSTM [2]), and the published Fraud-BERT benchmark [1] (Discover Computing, Springer, 2025). As shown in Table I, our proposed BERT-BiLSTM framework achieves superior performance across all macro-averaged metrics: 0.97 Precision, 0.92 Recall, 0.94 F1-score, 0.99 Accuracy (99.02%), and 0.99 ROC-AUC (0.9902), outperforming Fraud-BERT (F1: 0.93, AUC: 0.9860).</w:t>
        <w:br/>
        <w:br/>
        <w:t>2. Systematic Ablation Study (Table II): To quantify the exact contribution of each architectural component, our manuscript features a four-variant ablation study:</w:t>
        <w:br/>
        <w:t xml:space="preserve">   - Variant 1 (Standard Bi-LSTM with static embeddings): Achieves 80.46% F1-score.</w:t>
        <w:br/>
        <w:t xml:space="preserve">   - Variant 2 (Fraud-BERT replica, BERT + Linear head on [CLS]): Achieves 86.31% F1-score (+5.85% gain).</w:t>
        <w:br/>
        <w:t xml:space="preserve">   - Variant 3 (BERT + Linear head on average pool): Achieves 87.52% F1-score (+7.06% gain).</w:t>
        <w:br/>
        <w:t xml:space="preserve">   - Variant 4 (Proposed BERT-BiLSTM): Achieves 89.36% F1-score (+8.90% total gain on minority fraud detection).</w:t>
        <w:br/>
        <w:t>This confirms that combining contextual BERT embeddings with a sequential Bi-LSTM head provides a statistically significant improvement (+3.05% F1 gain over Fraud-BERT's linear classification head).</w:t>
      </w:r>
    </w:p>
    <w:p>
      <w:pPr>
        <w:spacing w:line="276" w:lineRule="auto" w:before="40" w:after="200"/>
      </w:pPr>
      <w:r>
        <w:rPr>
          <w:b/>
          <w:color w:val="0033CC"/>
        </w:rPr>
        <w:t xml:space="preserve">Modifications in Revised Manuscript: </w:t>
      </w:r>
      <w:r>
        <w:rPr>
          <w:color w:val="0033CC"/>
        </w:rPr>
        <w:t>In Section V-A and V-B (p. 4-5), we have expanded the discussion cross-referencing recent 2024–2026 literature and emphasized the quantitative lessons of the ablation study (marked in blue).</w:t>
      </w:r>
    </w:p>
    <w:p>
      <w:pPr>
        <w:spacing w:before="200" w:after="80"/>
      </w:pPr>
      <w:r>
        <w:rPr>
          <w:b/>
          <w:color w:val="B42828"/>
        </w:rPr>
        <w:t xml:space="preserve">Comment 1.3: </w:t>
      </w:r>
      <w:r>
        <w:rPr>
          <w:i/>
          <w:color w:val="323232"/>
        </w:rPr>
        <w:t>"Include a figure illustrating the overall framework of the proposed method to improve clarity and help readers better understand the workflow."</w:t>
      </w:r>
    </w:p>
    <w:p>
      <w:pPr>
        <w:spacing w:line="276" w:lineRule="auto" w:before="40" w:after="120"/>
      </w:pPr>
      <w:r>
        <w:rPr>
          <w:b/>
          <w:color w:val="006633"/>
        </w:rPr>
        <w:t xml:space="preserve">Response: </w:t>
      </w:r>
      <w:r>
        <w:t>We thank the reviewer for this valuable observation. In the initial draft, Figure 1 presented a vertical text-based flowchart where the internal diagram title ('Workflow') and the caption ('Architecture') had minor textual inconsistency, and the resolution required vertical scaling.</w:t>
        <w:br/>
        <w:br/>
        <w:t>In the revised manuscript, we have completely redesigned and replaced Figure 1 with a high-resolution, vector-quality (300 DPI) comprehensive architectural framework diagram. The new figure clearly illustrates the end-to-end multi-stage pipeline:</w:t>
        <w:br/>
        <w:t>- Stage 1: Multi-field input metadata concatenation and normalization.</w:t>
        <w:br/>
        <w:t>- Stage 2: WordPiece tokenization with sequence padding/truncation (L = 512).</w:t>
        <w:br/>
        <w:t>- Stage 3: BERT transformer backbone (12 encoder blocks, hidden dimension d = 768) generating full-sequence hidden representations.</w:t>
        <w:br/>
        <w:t>- Stage 4: 2-layer Bidirectional LSTM sequence encoder (forward and backward hidden states, h = 128).</w:t>
        <w:br/>
        <w:t>- Stage 5: Concatenated pooling (Max + Average) and dense classification head with class-weighted loss.</w:t>
        <w:br/>
        <w:t>- Stage 6: Post-hoc SHAP token-level attribution generating transparent explainability maps.</w:t>
        <w:br/>
        <w:t>Both the internal diagram heading and the figure caption have been harmonized to eliminate any ambiguity.</w:t>
      </w:r>
    </w:p>
    <w:p>
      <w:pPr>
        <w:spacing w:line="276" w:lineRule="auto" w:before="40" w:after="200"/>
      </w:pPr>
      <w:r>
        <w:rPr>
          <w:b/>
          <w:color w:val="0033CC"/>
        </w:rPr>
        <w:t xml:space="preserve">Modifications in Revised Manuscript: </w:t>
      </w:r>
      <w:r>
        <w:rPr>
          <w:color w:val="0033CC"/>
        </w:rPr>
        <w:t>Figure 1 (p. 2) has been replaced with the newly generated high-DPI framework diagram, and its caption has been updated to: 'Fig. 1. Overall framework and architectural workflow of the proposed Hybrid BERT-BiLSTM model' (marked in blue).</w:t>
      </w:r>
    </w:p>
    <w:p>
      <w:pPr>
        <w:spacing w:before="200" w:after="80"/>
      </w:pPr>
      <w:r>
        <w:rPr>
          <w:b/>
          <w:color w:val="B42828"/>
        </w:rPr>
        <w:t xml:space="preserve">Comment 1.4: </w:t>
      </w:r>
      <w:r>
        <w:rPr>
          <w:i/>
          <w:color w:val="323232"/>
        </w:rPr>
        <w:t>"Discuss the limitations of the proposed method and correct minor language and formatting errors."</w:t>
      </w:r>
    </w:p>
    <w:p>
      <w:pPr>
        <w:spacing w:line="276" w:lineRule="auto" w:before="40" w:after="120"/>
      </w:pPr>
      <w:r>
        <w:rPr>
          <w:b/>
          <w:color w:val="006633"/>
        </w:rPr>
        <w:t xml:space="preserve">Response: </w:t>
      </w:r>
      <w:r>
        <w:t>We appreciate the reviewer's insightful advice regarding scholarly transparency and manuscript polish. In response, we have added a dedicated 'Limitations of the Proposed Method' subsection within Section VI (Conclusion and Future Scope) and thoroughly proofread the manuscript for grammatical consistency, formatting alignment, and IEEE stylistic standards.</w:t>
        <w:br/>
        <w:br/>
        <w:t>The added discussion articulates three key limitations:</w:t>
        <w:br/>
        <w:t>1. Computational &amp; Memory Complexity: Jointly processing full-sequence transformer hidden states through a 2-layer Bi-LSTM requires greater GPU memory and training runtime than lightweight linear baselines, posing potential throughput constraints in high-velocity streaming environments.</w:t>
        <w:br/>
        <w:t>2. Language &amp; Monolingual Scope: The current framework is evaluated on English-language listings from EMSCAD; cross-lingual scam detection requires integration with multilingual backbones (e.g., mBERT or XLM-RoBERTa).</w:t>
        <w:br/>
        <w:t>3. Resistance to Cloaked Copy-Paste Attacks: Scammers who duplicate authentic company descriptions verbatim and alter solely off-platform contact links or unregistered emails remain challenging to isolate using purely semantic models without supplementary domain registration verifiers.</w:t>
      </w:r>
    </w:p>
    <w:p>
      <w:pPr>
        <w:spacing w:line="276" w:lineRule="auto" w:before="40" w:after="200"/>
      </w:pPr>
      <w:r>
        <w:rPr>
          <w:b/>
          <w:color w:val="0033CC"/>
        </w:rPr>
        <w:t xml:space="preserve">Modifications in Revised Manuscript: </w:t>
      </w:r>
      <w:r>
        <w:rPr>
          <w:color w:val="0033CC"/>
        </w:rPr>
        <w:t>A dedicated 'Limitations of the Proposed Method' paragraph has been incorporated into Section VI (p. 6), and minor typographical/grammatical refinements have been made throughout the paper (marked in blue).</w:t>
      </w:r>
    </w:p>
    <w:p>
      <w:pPr>
        <w:spacing w:before="320" w:after="120"/>
      </w:pPr>
      <w:r>
        <w:rPr>
          <w:b/>
          <w:color w:val="102C57"/>
          <w:sz w:val="24"/>
        </w:rPr>
        <w:t>RESPONSE TO REVIEWER 2 COMMENTS</w:t>
      </w:r>
    </w:p>
    <w:p>
      <w:pPr>
        <w:spacing w:before="200" w:after="80"/>
      </w:pPr>
      <w:r>
        <w:rPr>
          <w:b/>
          <w:color w:val="B42828"/>
        </w:rPr>
        <w:t xml:space="preserve">Comment 2.1 &amp; 2.2: </w:t>
      </w:r>
      <w:r>
        <w:rPr>
          <w:i/>
          <w:color w:val="323232"/>
        </w:rPr>
        <w:t>"Validate kinematic outputs against external ground truth, not only detector mAP. Add baselines/ablations (ball tracker, keypoint model, with/without RANSAC)."</w:t>
      </w:r>
    </w:p>
    <w:p>
      <w:pPr>
        <w:spacing w:line="276" w:lineRule="auto" w:before="40" w:after="120"/>
      </w:pPr>
      <w:r>
        <w:rPr>
          <w:b/>
          <w:color w:val="006633"/>
        </w:rPr>
        <w:t xml:space="preserve">Response: </w:t>
      </w:r>
      <w:r>
        <w:t>We respectfully thank the reviewer for their comments. We would like to politely clarify that our manuscript (Paper ID: 2259, titled 'An Explainable and Sequence-Preserving BERT-BiLSTM Framework for Online Recruitment Fraud Detection') focuses entirely on Natural Language Processing (NLP), deep contextual language models (BERT), and recurrent sequence modeling (Bi-LSTM) for text-based employment scam detection.</w:t>
        <w:br/>
        <w:br/>
        <w:t>Our work does not involve computer vision, kinematic tracking, ball tracking, keypoints, or RANSAC algorithms. We respectfully believe that Comments 2.1 and 2.2 may have been inadvertently assigned or copy-pasted by the conference review system from another submission in the computer vision or robotics track.</w:t>
        <w:br/>
        <w:br/>
        <w:t>Nevertheless, fully respecting the underlying motivation of the reviewer's intent—which is to ensure rigorous ground-truth validation and robust ablation testing—we have extensively verified our NLP ground truth against the verified EMSCAD benchmark, validated the model using McNemar's statistical significance test (chi^2 = 14.22, p = 0.00016), and provided a thorough 4-variant ablation study in Table II.</w:t>
      </w:r>
    </w:p>
    <w:p>
      <w:pPr>
        <w:spacing w:line="276" w:lineRule="auto" w:before="40" w:after="200"/>
      </w:pPr>
      <w:r>
        <w:rPr>
          <w:b/>
          <w:color w:val="0033CC"/>
        </w:rPr>
        <w:t xml:space="preserve">Modifications in Revised Manuscript: </w:t>
      </w:r>
      <w:r>
        <w:rPr>
          <w:color w:val="0033CC"/>
        </w:rPr>
        <w:t>No changes related to kinematics/tracking were applicable to this NLP text classification paper. However, ground-truth dataset integrity and ablation validation have been emphasized in Section IV-A and Section V-B.</w:t>
      </w:r>
    </w:p>
    <w:p>
      <w:pPr>
        <w:spacing w:before="200" w:after="80"/>
      </w:pPr>
      <w:r>
        <w:rPr>
          <w:b/>
          <w:color w:val="B42828"/>
        </w:rPr>
        <w:t xml:space="preserve">Comment 2.3: </w:t>
      </w:r>
      <w:r>
        <w:rPr>
          <w:i/>
          <w:color w:val="323232"/>
        </w:rPr>
        <w:t>"Clarify dataset splits, annotation protocol, and failure cases."</w:t>
      </w:r>
    </w:p>
    <w:p>
      <w:pPr>
        <w:spacing w:line="276" w:lineRule="auto" w:before="40" w:after="120"/>
      </w:pPr>
      <w:r>
        <w:rPr>
          <w:b/>
          <w:color w:val="006633"/>
        </w:rPr>
        <w:t xml:space="preserve">Response: </w:t>
      </w:r>
      <w:r>
        <w:t>We thank the reviewer for this constructive suggestion to enhance reproducibility and clarity. We have expanded Section IV-A (Dataset) and Section V-F (Error Analysis) to address each of these points in detail:</w:t>
        <w:br/>
        <w:br/>
        <w:t>1. Dataset Splits: We explicitly clarify that the EMSCAD dataset (17,880 samples) is partitioned using a stratified 80/20 train-test split (14,304 training samples and 3,576 test samples). Stratification guarantees an exact preservation of the real-world 4.84% fraudulent minority class across both splits (173 fraud cases in the test set), preventing sampling distortion.</w:t>
        <w:br/>
        <w:t>2. Annotation Protocol: The EMSCAD benchmark was curated by the Laboratory of Information &amp; Communication Systems Security at the University of the Aegean. The annotation protocol involved human expert cross-verification against verified corporate entities, domain blacklists, and applicant scam reports, providing high ground-truth reliability.</w:t>
        <w:br/>
        <w:t>3. Detailed Failure Cases: Section V-F specifically categorizes and explains the primary failure modes: (a) False Positives occur when genuine early-stage startups use informal, high-urgency hiring phrases ('Urgent requirement', 'No prior experience required') without formal corporate websites; (b) False Negatives occur when scammers execute near-perfect corporate identity cloning, replicating genuine listings word-for-word and swapping only external application links.</w:t>
      </w:r>
    </w:p>
    <w:p>
      <w:pPr>
        <w:spacing w:line="276" w:lineRule="auto" w:before="40" w:after="200"/>
      </w:pPr>
      <w:r>
        <w:rPr>
          <w:b/>
          <w:color w:val="0033CC"/>
        </w:rPr>
        <w:t xml:space="preserve">Modifications in Revised Manuscript: </w:t>
      </w:r>
      <w:r>
        <w:rPr>
          <w:color w:val="0033CC"/>
        </w:rPr>
        <w:t>Section IV-A (p. 4) has been updated with detailed split and annotation protocols, and Section V-F (p. 5-6) elaborates on the failure case error analysis (marked in blue).</w:t>
      </w:r>
    </w:p>
    <w:p>
      <w:pPr>
        <w:spacing w:before="200" w:after="80"/>
      </w:pPr>
      <w:r>
        <w:rPr>
          <w:b/>
          <w:color w:val="B42828"/>
        </w:rPr>
        <w:t xml:space="preserve">Comment 2.4: </w:t>
      </w:r>
      <w:r>
        <w:rPr>
          <w:i/>
          <w:color w:val="323232"/>
        </w:rPr>
        <w:t>"Major English/formatting edit; tone down unsupported accuracy claims."</w:t>
      </w:r>
    </w:p>
    <w:p>
      <w:pPr>
        <w:spacing w:line="276" w:lineRule="auto" w:before="40" w:after="120"/>
      </w:pPr>
      <w:r>
        <w:rPr>
          <w:b/>
          <w:color w:val="006633"/>
        </w:rPr>
        <w:t xml:space="preserve">Response: </w:t>
      </w:r>
      <w:r>
        <w:t>We sincerely appreciate this valuable recommendation. We have conducted a comprehensive linguistic, stylistic, and formatting revision of the entire manuscript:</w:t>
        <w:br/>
        <w:br/>
        <w:t>1. Toning Down Performance Claims: We have eliminated any overly absolute or subjective adjectives (such as 'flawless', 'completely resolves', or 'unbeatable'). All claims are now strictly framed around empirical metrics supported by statistical significance (e.g., 'demonstrates statistically significant improvements supported by McNemar's test with p &lt; 0.001', 'achieves high discrimination capability with a macro F1-score of 0.94 and AUC of 0.99').</w:t>
        <w:br/>
        <w:t>2. English &amp; Typography Polishing: The manuscript has been meticulously proofread to correct minor grammatical phrasing, passive-voice overreliance, and formatting alignments in accordance with the IEEE conference two-column template.</w:t>
      </w:r>
    </w:p>
    <w:p>
      <w:pPr>
        <w:spacing w:line="276" w:lineRule="auto" w:before="40" w:after="200"/>
      </w:pPr>
      <w:r>
        <w:rPr>
          <w:b/>
          <w:color w:val="0033CC"/>
        </w:rPr>
        <w:t xml:space="preserve">Modifications in Revised Manuscript: </w:t>
      </w:r>
      <w:r>
        <w:rPr>
          <w:color w:val="0033CC"/>
        </w:rPr>
        <w:t>The manuscript text across the Abstract, Section I, Section V, and Section VI has been polished to reflect objective, measured scientific language, with all refinements highlighted in blue.</w:t>
      </w:r>
    </w:p>
    <w:p>
      <w:pPr>
        <w:spacing w:before="280" w:line="276" w:lineRule="auto"/>
      </w:pPr>
      <w:r>
        <w:t>Conclusion &amp; Submission Package:</w:t>
        <w:br/>
        <w:t>We once again thank the reviewers and the Technical Program Committee for their invaluable guidance, which has substantially improved the depth, rigor, and visual presentation of our work. We submit herewith:</w:t>
        <w:br/>
        <w:t>1. Revised Manuscript (with all changes clearly highlighted in BLUE font).</w:t>
        <w:br/>
        <w:t>2. This Point-by-Point Response Document.</w:t>
        <w:br/>
        <w:br/>
        <w:t>We look forward to presenting our paper at AISUMMIT-2026.</w:t>
        <w:br/>
        <w:br/>
        <w:t>Sincerely,</w:t>
        <w:br/>
        <w:t>Yadav Akhilesh Ramavdhesh &amp; Dr. Sunil Kumar</w:t>
        <w:br/>
        <w:t>Department of Mathematics, Chandigarh University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