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48"/>
        </w:rPr>
        <w:t>A Hybrid Context-Aware BERT-BiLSTM Framework for</w:t>
        <w:br/>
        <w:t>Online Recruitment Fraud Detection</w:t>
      </w:r>
    </w:p>
    <w:p>
      <w:pPr>
        <w:spacing w:after="360"/>
        <w:jc w:val="center"/>
      </w:pPr>
      <w:r>
        <w:rPr>
          <w:rFonts w:ascii="Times New Roman" w:hAnsi="Times New Roman"/>
          <w:b w:val="0"/>
          <w:i w:val="0"/>
          <w:color w:val="000000"/>
          <w:sz w:val="22"/>
        </w:rPr>
        <w:t>Akhilesh Yadav</w:t>
        <w:br/>
        <w:t>Department of Computer Science and Engineering</w:t>
        <w:br/>
        <w:t>M.Sc. (Data Science)</w:t>
        <w:br/>
        <w:t>India</w:t>
        <w:br/>
        <w:t>akhileshyadav8@gmail.com</w:t>
      </w:r>
    </w:p>
    <w:p>
      <w:pPr>
        <w:sectPr>
          <w:pgSz w:w="12240" w:h="15840"/>
          <w:pgMar w:top="1080" w:right="900" w:bottom="1440" w:left="900" w:header="720" w:footer="720" w:gutter="0"/>
          <w:cols w:space="720"/>
          <w:docGrid w:linePitch="360"/>
        </w:sectPr>
      </w:pPr>
    </w:p>
    <w:p>
      <w:pPr>
        <w:spacing w:after="120"/>
        <w:ind w:firstLine="216"/>
        <w:jc w:val="both"/>
      </w:pPr>
      <w:r>
        <w:rPr>
          <w:rFonts w:ascii="Times New Roman" w:hAnsi="Times New Roman"/>
          <w:b/>
          <w:i/>
          <w:color w:val="000000"/>
          <w:sz w:val="18"/>
        </w:rPr>
        <w:t>Abstract---</w:t>
      </w:r>
      <w:r>
        <w:rPr>
          <w:rFonts w:ascii="Times New Roman" w:hAnsi="Times New Roman"/>
          <w:b/>
          <w:i w:val="0"/>
          <w:color w:val="000000"/>
          <w:sz w:val="18"/>
        </w:rPr>
        <w:t>The digitization of the employment market has revolutionized the hiring process, offering unprecedented convenience to both recruiters and job seekers. However, this transformation has concurrently fueled a rise in Online Recruitment Fraud (ORF). Fraudsters post fake job listings to steal sensitive personal information, harvest bank credentials, or extort financial payments from unsuspecting job seekers. Manually identifying these fraudulent postings is extremely challenging as they are carefully designed to mimic legitimate ones. While traditional machine learning techniques fail to capture the semantic nuances of job postings, deep learning models often rely on context-free static embeddings. To address these limitations, this paper proposes a hybrid context-aware deep learning framework combining Bidirectional Encoder Representations from Transformers (BERT) and Bidirectional Long Short-Term Memory (Bi-LSTM). The proposed model uses a pre-trained BERT layer to extract context-rich token-level word representations, which are subsequently fed into a Bi-LSTM layer to capture the sequential dependencies and temporal patterns of the text. Rather than extracting only the static [CLS] representation, our proposed framework retains the complete sequence representation to protect structural token dependencies. To resolve the black-box nature of neural classifiers, we incorporate game-theoretic Explainable AI (XAI) using SHAP values. On the highly imbalanced Employment Scam Aegean Dataset (EMSCAD), our proposed model achieves a test accuracy of 98.91%, Class 1 (Fraudulent) precision of 92.41%, recall of 84.39%, and an F1-score of 88.22%. Additionally, it obtains a Macro-average F1-score of 93.82% and an ROC-AUC of 98.75%, outperforming classical machine learning baselines.</w:t>
      </w:r>
    </w:p>
    <w:p>
      <w:pPr>
        <w:spacing w:after="24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Bi-LSTM, Natural Language Processing, Deep Learning, Explainable AI, Ablation Study.</w:t>
      </w:r>
    </w:p>
    <w:p>
      <w:pPr>
        <w:keepNext/>
        <w:spacing w:before="240" w:after="120"/>
        <w:jc w:val="center"/>
      </w:pPr>
      <w:r>
        <w:rPr>
          <w:rFonts w:ascii="Times New Roman" w:hAnsi="Times New Roman"/>
          <w:b/>
          <w:i w:val="0"/>
          <w:color w:val="000000"/>
          <w:sz w:val="20"/>
        </w:rPr>
        <w:t>I.  INTRODUCTION</w:t>
      </w:r>
    </w:p>
    <w:p>
      <w:pPr>
        <w:spacing w:line="252" w:lineRule="auto" w:after="80"/>
        <w:ind w:firstLine="216"/>
        <w:jc w:val="both"/>
      </w:pPr>
      <w:r>
        <w:rPr>
          <w:rFonts w:ascii="Times New Roman" w:hAnsi="Times New Roman"/>
          <w:b w:val="0"/>
          <w:i w:val="0"/>
          <w:color w:val="000000"/>
          <w:sz w:val="20"/>
        </w:rPr>
        <w:t xml:space="preserve">Online recruitment has become the standard mechanism for job seeking and hiring globally, utilizing platforms like LinkedIn, Glassdoor, and Indeed. This shift has significantly lowered administrative overhead, expanded the global applicant pool, and accelerated the recruiting cycle. However, this open digital ecosystem has also emerged as a fertile ground for cybercriminals engaged in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w:t>
      </w:r>
    </w:p>
    <w:p>
      <w:pPr>
        <w:spacing w:line="252" w:lineRule="auto" w:after="80"/>
        <w:ind w:firstLine="216"/>
        <w:jc w:val="both"/>
      </w:pPr>
      <w:r>
        <w:rPr>
          <w:rFonts w:ascii="Times New Roman" w:hAnsi="Times New Roman"/>
          <w:b w:val="0"/>
          <w:i w:val="0"/>
          <w:color w:val="000000"/>
          <w:sz w:val="20"/>
        </w:rPr>
        <w:t xml:space="preserve">Fraudulent job ads are designed to bait vulnerable candidates, often promising high compensation, flexible hours, and low entry requirements. Once candidates apply, fraudsters exploit the situation to perform identity theft (obtaining bank account numbers, social security numbers, and passport photos) or to run financial scams (requesting fees for training materials, visa applications, or screening checks) </w:t>
      </w:r>
      <w:hyperlink w:anchor="ref_3">
        <w:r>
          <w:rPr>
            <w:rFonts w:ascii="Times New Roman" w:hAnsi="Times New Roman"/>
            <w:sz w:val="20"/>
            <w:u w:val="single"/>
            <w:color w:val="0000FF"/>
          </w:rPr>
          <w:t>[3]</w:t>
        </w:r>
      </w:hyperlink>
      <w:r>
        <w:rPr>
          <w:rFonts w:ascii="Times New Roman" w:hAnsi="Times New Roman"/>
          <w:b w:val="0"/>
          <w:i w:val="0"/>
          <w:color w:val="000000"/>
          <w:sz w:val="20"/>
        </w:rPr>
        <w:t>. During periods of high economic uncertainty and remote work popularity, the volume and sophistication of these scams have grown exponentially.</w:t>
      </w:r>
    </w:p>
    <w:p>
      <w:pPr>
        <w:spacing w:line="252" w:lineRule="auto" w:after="80"/>
        <w:ind w:firstLine="216"/>
        <w:jc w:val="both"/>
      </w:pPr>
      <w:r>
        <w:rPr>
          <w:rFonts w:ascii="Times New Roman" w:hAnsi="Times New Roman"/>
          <w:b w:val="0"/>
          <w:i w:val="0"/>
          <w:color w:val="000000"/>
          <w:sz w:val="20"/>
        </w:rPr>
        <w:t xml:space="preserve">Detecting fraudulent postings is an intricate natural language processing (NLP) problem. Deceptive listings are constructed using highly professional language, often copying corporate profiles from legitimate websites to look genuine </w:t>
      </w:r>
      <w:hyperlink w:anchor="ref_4">
        <w:r>
          <w:rPr>
            <w:rFonts w:ascii="Times New Roman" w:hAnsi="Times New Roman"/>
            <w:sz w:val="20"/>
            <w:u w:val="single"/>
            <w:color w:val="0000FF"/>
          </w:rPr>
          <w:t>[4]</w:t>
        </w:r>
      </w:hyperlink>
      <w:r>
        <w:rPr>
          <w:rFonts w:ascii="Times New Roman" w:hAnsi="Times New Roman"/>
          <w:b w:val="0"/>
          <w:i w:val="0"/>
          <w:color w:val="000000"/>
          <w:sz w:val="20"/>
        </w:rPr>
        <w:t>. Therefore, traditional keyword filtering or rule-based systems fail because they cannot capture semantic anomalies or context.</w:t>
      </w:r>
    </w:p>
    <w:p>
      <w:pPr>
        <w:spacing w:line="252" w:lineRule="auto" w:after="80"/>
        <w:ind w:firstLine="216"/>
        <w:jc w:val="both"/>
      </w:pPr>
      <w:r>
        <w:rPr>
          <w:rFonts w:ascii="Times New Roman" w:hAnsi="Times New Roman"/>
          <w:b w:val="0"/>
          <w:i w:val="0"/>
          <w:color w:val="000000"/>
          <w:sz w:val="20"/>
        </w:rPr>
        <w:t xml:space="preserve">Early automated detection systems deployed machine learning models such as Logistic Regression, Naive Bayes, and Random Forest on features extracted via Bag-of-Words (BoW) or Term Frequency-Inverse Document Frequency (TF-IDF)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Although computationally efficient, these models suffer from high-dimensional sparse representations and completely ignore the ordering and semantic context of words. To resolve this, deep learning models such as Recurrent Neural Networks (RNN) and Bidirectional Long Short-Term Memory (Bi-LSTM) were proposed </w:t>
      </w:r>
      <w:hyperlink w:anchor="ref_2">
        <w:r>
          <w:rPr>
            <w:rFonts w:ascii="Times New Roman" w:hAnsi="Times New Roman"/>
            <w:sz w:val="20"/>
            <w:u w:val="single"/>
            <w:color w:val="0000FF"/>
          </w:rPr>
          <w:t>[2]</w:t>
        </w:r>
      </w:hyperlink>
      <w:r>
        <w:rPr>
          <w:rFonts w:ascii="Times New Roman" w:hAnsi="Times New Roman"/>
          <w:b w:val="0"/>
          <w:i w:val="0"/>
          <w:color w:val="000000"/>
          <w:sz w:val="20"/>
        </w:rPr>
        <w:t>. These models process sequential text using dense representations, but their performance remains limited when relying on static pre-trained embeddings (such as Word2Vec or GloVe) which fail to adjust a word's representation based on its dynamic context.</w:t>
      </w:r>
    </w:p>
    <w:p>
      <w:pPr>
        <w:spacing w:line="252" w:lineRule="auto" w:after="80"/>
        <w:ind w:firstLine="216"/>
        <w:jc w:val="both"/>
      </w:pPr>
      <w:r>
        <w:rPr>
          <w:rFonts w:ascii="Times New Roman" w:hAnsi="Times New Roman"/>
          <w:b w:val="0"/>
          <w:i w:val="0"/>
          <w:color w:val="000000"/>
          <w:sz w:val="20"/>
        </w:rPr>
        <w:t xml:space="preserve">Recently, Transformer-based Large Language Models (LLMs) like BERT (Bidirectional Encoder Representations from Transformers) have redefined the state-of-the-art in NLP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uses self-attention mechanisms to generate context-aware bidirectional representations of tokens. Standalone BERT architectures classify text by passing the representation of the special classification token ([CLS]) directly into a dense output layer. However, this approach discards token-level sequential and contextual variations across the full text sequence, which are critical for recognizing structural and linguistic tells in fraudulent job ads.</w:t>
      </w:r>
    </w:p>
    <w:p>
      <w:pPr>
        <w:spacing w:line="252" w:lineRule="auto" w:after="80"/>
        <w:ind w:firstLine="216"/>
        <w:jc w:val="both"/>
      </w:pPr>
      <w:r>
        <w:rPr>
          <w:rFonts w:ascii="Times New Roman" w:hAnsi="Times New Roman"/>
          <w:b w:val="0"/>
          <w:i w:val="0"/>
          <w:color w:val="000000"/>
          <w:sz w:val="20"/>
        </w:rPr>
        <w:t xml:space="preserve">To bridge this gap, we propose a hybrid </w:t>
      </w:r>
      <w:r>
        <w:rPr>
          <w:rFonts w:ascii="Times New Roman" w:hAnsi="Times New Roman"/>
          <w:b/>
          <w:i w:val="0"/>
          <w:color w:val="000000"/>
          <w:sz w:val="20"/>
        </w:rPr>
        <w:t>BERT-BiLSTM</w:t>
      </w:r>
      <w:r>
        <w:rPr>
          <w:rFonts w:ascii="Times New Roman" w:hAnsi="Times New Roman"/>
          <w:b w:val="0"/>
          <w:i w:val="0"/>
          <w:color w:val="000000"/>
          <w:sz w:val="20"/>
        </w:rPr>
        <w:t xml:space="preserve"> model. This architecture leverages the strengths of both paradigms: (1) We utilize a pre-trained </w:t>
      </w:r>
      <w:r>
        <w:rPr>
          <w:rFonts w:ascii="Times New Roman" w:hAnsi="Times New Roman"/>
          <w:b/>
          <w:i w:val="0"/>
          <w:color w:val="000000"/>
          <w:sz w:val="20"/>
        </w:rPr>
        <w:t>BERT</w:t>
      </w:r>
      <w:r>
        <w:rPr>
          <w:rFonts w:ascii="Times New Roman" w:hAnsi="Times New Roman"/>
          <w:b w:val="0"/>
          <w:i w:val="0"/>
          <w:color w:val="000000"/>
          <w:sz w:val="20"/>
        </w:rPr>
        <w:t xml:space="preserve"> encoder to extract contextually rich sequence embeddings, capturing sub-word semantic features. (2) We feed these sequential embeddings into a </w:t>
      </w:r>
      <w:r>
        <w:rPr>
          <w:rFonts w:ascii="Times New Roman" w:hAnsi="Times New Roman"/>
          <w:b/>
          <w:i w:val="0"/>
          <w:color w:val="000000"/>
          <w:sz w:val="20"/>
        </w:rPr>
        <w:t>Bidirectional LSTM (Bi-LSTM)</w:t>
      </w:r>
      <w:r>
        <w:rPr>
          <w:rFonts w:ascii="Times New Roman" w:hAnsi="Times New Roman"/>
          <w:b w:val="0"/>
          <w:i w:val="0"/>
          <w:color w:val="000000"/>
          <w:sz w:val="20"/>
        </w:rPr>
        <w:t xml:space="preserve"> network to analyze the global syntax, sequential patterns, and long-range dependencies across the text. (3) We address class imbalance (where less than 5% of job postings are fraudulent) using a class-weighted loss function rather than data-altering oversampling (like SMOTE), which can distort semantic embeddings.</w:t>
      </w:r>
    </w:p>
    <w:p>
      <w:pPr>
        <w:spacing w:line="252" w:lineRule="auto" w:after="80"/>
        <w:ind w:firstLine="216"/>
        <w:jc w:val="both"/>
      </w:pPr>
      <w:r>
        <w:rPr>
          <w:rFonts w:ascii="Times New Roman" w:hAnsi="Times New Roman"/>
          <w:b w:val="0"/>
          <w:i w:val="0"/>
          <w:color w:val="000000"/>
          <w:sz w:val="20"/>
        </w:rPr>
        <w:t xml:space="preserve">Furthermore, we incorporate </w:t>
      </w:r>
      <w:r>
        <w:rPr>
          <w:rFonts w:ascii="Times New Roman" w:hAnsi="Times New Roman"/>
          <w:b/>
          <w:i w:val="0"/>
          <w:color w:val="000000"/>
          <w:sz w:val="20"/>
        </w:rPr>
        <w:t>Explainable AI (XAI)</w:t>
      </w:r>
      <w:r>
        <w:rPr>
          <w:rFonts w:ascii="Times New Roman" w:hAnsi="Times New Roman"/>
          <w:b w:val="0"/>
          <w:i w:val="0"/>
          <w:color w:val="000000"/>
          <w:sz w:val="20"/>
        </w:rPr>
        <w:t xml:space="preserve"> principles using game-theoretic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values to identify terms that most strongly signal fraudulent intent, addressing the black-box nature of deep neural networks. We also provide a complete </w:t>
      </w:r>
      <w:r>
        <w:rPr>
          <w:rFonts w:ascii="Times New Roman" w:hAnsi="Times New Roman"/>
          <w:b/>
          <w:i w:val="0"/>
          <w:color w:val="000000"/>
          <w:sz w:val="20"/>
        </w:rPr>
        <w:t>Ablation Study</w:t>
      </w:r>
      <w:r>
        <w:rPr>
          <w:rFonts w:ascii="Times New Roman" w:hAnsi="Times New Roman"/>
          <w:b w:val="0"/>
          <w:i w:val="0"/>
          <w:color w:val="000000"/>
          <w:sz w:val="20"/>
        </w:rPr>
        <w:t xml:space="preserve"> and a thorough </w:t>
      </w:r>
      <w:r>
        <w:rPr>
          <w:rFonts w:ascii="Times New Roman" w:hAnsi="Times New Roman"/>
          <w:b/>
          <w:i w:val="0"/>
          <w:color w:val="000000"/>
          <w:sz w:val="20"/>
        </w:rPr>
        <w:t>Error Analysis</w:t>
      </w:r>
      <w:r>
        <w:rPr>
          <w:rFonts w:ascii="Times New Roman" w:hAnsi="Times New Roman"/>
          <w:b w:val="0"/>
          <w:i w:val="0"/>
          <w:color w:val="000000"/>
          <w:sz w:val="20"/>
        </w:rPr>
        <w:t xml:space="preserve"> to demonstrate the scientific validity and statistical significance of our model's performance.</w:t>
      </w:r>
    </w:p>
    <w:p>
      <w:pPr>
        <w:keepNext/>
        <w:spacing w:before="240" w:after="120"/>
        <w:jc w:val="center"/>
      </w:pPr>
      <w:r>
        <w:rPr>
          <w:rFonts w:ascii="Times New Roman" w:hAnsi="Times New Roman"/>
          <w:b/>
          <w:i w:val="0"/>
          <w:color w:val="000000"/>
          <w:sz w:val="20"/>
        </w:rPr>
        <w:t>II.  RELATED WORK</w:t>
      </w:r>
    </w:p>
    <w:p>
      <w:pPr>
        <w:spacing w:line="252" w:lineRule="auto" w:after="8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60" w:after="80"/>
        <w:jc w:val="left"/>
      </w:pPr>
      <w:r>
        <w:rPr>
          <w:rFonts w:ascii="Times New Roman" w:hAnsi="Times New Roman"/>
          <w:b w:val="0"/>
          <w:i/>
          <w:color w:val="000000"/>
          <w:sz w:val="20"/>
        </w:rPr>
        <w:t>A. Machine Learning Approaches</w:t>
      </w:r>
    </w:p>
    <w:p>
      <w:pPr>
        <w:spacing w:line="252" w:lineRule="auto" w:after="8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took a step further by classifying fraudulent job postings into specific sub-categories (identity theft, MLM, etc.) rather than binary classification,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linear decision boundaries on smaller token vocabularies.</w:t>
      </w:r>
    </w:p>
    <w:p>
      <w:pPr>
        <w:keepNext/>
        <w:spacing w:before="160" w:after="80"/>
        <w:jc w:val="left"/>
      </w:pPr>
      <w:r>
        <w:rPr>
          <w:rFonts w:ascii="Times New Roman" w:hAnsi="Times New Roman"/>
          <w:b w:val="0"/>
          <w:i/>
          <w:color w:val="000000"/>
          <w:sz w:val="20"/>
        </w:rPr>
        <w:t>B. Deep Learning and Transformer Models</w:t>
      </w:r>
    </w:p>
    <w:p>
      <w:pPr>
        <w:spacing w:line="252" w:lineRule="auto" w:after="8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utilizes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online boards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8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(VADER/TextBlob) to model the emotional tone of descriptions, achieving highly accurate classifications.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showcasing the benefits of feature extraction.</w:t>
      </w:r>
    </w:p>
    <w:p>
      <w:pPr>
        <w:spacing w:line="252" w:lineRule="auto" w:after="80"/>
        <w:ind w:firstLine="216"/>
        <w:jc w:val="both"/>
      </w:pPr>
      <w:r>
        <w:rPr>
          <w:rFonts w:ascii="Times New Roman" w:hAnsi="Times New Roman"/>
          <w:b w:val="0"/>
          <w:i w:val="0"/>
          <w:color w:val="000000"/>
          <w:sz w:val="20"/>
        </w:rPr>
        <w:t xml:space="preserve">More recently, hybrid frameworks have been explored. Srilakshmi et al. </w:t>
      </w:r>
      <w:hyperlink w:anchor="ref_7">
        <w:r>
          <w:rPr>
            <w:rFonts w:ascii="Times New Roman" w:hAnsi="Times New Roman"/>
            <w:sz w:val="20"/>
            <w:u w:val="single"/>
            <w:color w:val="0000FF"/>
          </w:rPr>
          <w:t>[7]</w:t>
        </w:r>
      </w:hyperlink>
      <w:r>
        <w:rPr>
          <w:rFonts w:ascii="Times New Roman" w:hAnsi="Times New Roman"/>
          <w:b w:val="0"/>
          <w:i w:val="0"/>
          <w:color w:val="000000"/>
          <w:sz w:val="20"/>
        </w:rPr>
        <w:t xml:space="preserve"> and Varshitha et al. </w:t>
      </w:r>
      <w:hyperlink w:anchor="ref_8">
        <w:r>
          <w:rPr>
            <w:rFonts w:ascii="Times New Roman" w:hAnsi="Times New Roman"/>
            <w:sz w:val="20"/>
            <w:u w:val="single"/>
            <w:color w:val="0000FF"/>
          </w:rPr>
          <w:t>[8]</w:t>
        </w:r>
      </w:hyperlink>
      <w:r>
        <w:rPr>
          <w:rFonts w:ascii="Times New Roman" w:hAnsi="Times New Roman"/>
          <w:b w:val="0"/>
          <w:i w:val="0"/>
          <w:color w:val="000000"/>
          <w:sz w:val="20"/>
        </w:rPr>
        <w:t xml:space="preserve"> proposed architectures combining BERT/RoBERTa with a 2D Convolutional Neural Network (CNN2D) classifier, using oversampling methods (SMOTE/SMOBD) to mitigate dataset imbalance. While CNN2D models excel at capturing local spatial patterns, they are less suited than Bi-LSTMs for modeling the continuous sequential and temporal dependencies of long textual job advertisements. Our research improves upon these existing models by pairing BERT's contextual power with a sequential Bi-LSTM head, offering a unified, computationally efficient framework that trains directly on the class-weighted imbalanced dataset without distorting textual distributions.</w:t>
      </w:r>
    </w:p>
    <w:p>
      <w:pPr>
        <w:keepNext/>
        <w:spacing w:before="240" w:after="120"/>
        <w:jc w:val="center"/>
      </w:pPr>
      <w:r>
        <w:rPr>
          <w:rFonts w:ascii="Times New Roman" w:hAnsi="Times New Roman"/>
          <w:b/>
          <w:i w:val="0"/>
          <w:color w:val="000000"/>
          <w:sz w:val="20"/>
        </w:rPr>
        <w:t>III.  PROPOSED METHODOLOGY</w:t>
      </w:r>
    </w:p>
    <w:p>
      <w:pPr>
        <w:spacing w:line="252" w:lineRule="auto" w:after="80"/>
        <w:ind w:firstLine="216"/>
        <w:jc w:val="both"/>
      </w:pPr>
      <w:r>
        <w:rPr>
          <w:rFonts w:ascii="Times New Roman" w:hAnsi="Times New Roman"/>
          <w:b w:val="0"/>
          <w:i w:val="0"/>
          <w:color w:val="000000"/>
          <w:sz w:val="20"/>
        </w:rPr>
        <w:t>The proposed hybrid BERT-BiLSTM framework consists of three main stages: (A) Data Preprocessing and Concatenation, (B) BERT Contextual Embedding Extraction, and (C) Bi-LSTM Sequential Classification. The details of these components are described below.</w:t>
      </w:r>
    </w:p>
    <w:p>
      <w:pPr>
        <w:keepNext/>
        <w:spacing w:before="160" w:after="80"/>
        <w:jc w:val="left"/>
      </w:pPr>
      <w:r>
        <w:rPr>
          <w:rFonts w:ascii="Times New Roman" w:hAnsi="Times New Roman"/>
          <w:b w:val="0"/>
          <w:i/>
          <w:color w:val="000000"/>
          <w:sz w:val="20"/>
        </w:rPr>
        <w:t>A. Data Preprocessing and Concatenation</w:t>
      </w:r>
    </w:p>
    <w:p>
      <w:pPr>
        <w:spacing w:line="252" w:lineRule="auto" w:after="80"/>
        <w:ind w:firstLine="216"/>
        <w:jc w:val="both"/>
      </w:pPr>
      <w:r>
        <w:rPr>
          <w:rFonts w:ascii="Times New Roman" w:hAnsi="Times New Roman"/>
          <w:b w:val="0"/>
          <w:i w:val="0"/>
          <w:color w:val="000000"/>
          <w:sz w:val="20"/>
        </w:rPr>
        <w:t>Each job posting in the EMSCAD dataset contains both structured metadata and unstructured text. To leverage all textual clues, we clean and concatenate 10 fields: Job Title (T), Company Profile (C), Job Description (D), Requirements (R), Benefits (B), Employment Type (ET), Required Experience (RE), Required Education (RED), Industry (I), and Function (F). The combined text representation X_i for job posting i is defined as:</w:t>
      </w:r>
    </w:p>
    <w:p>
      <w:pPr>
        <w:spacing w:before="120" w:after="120"/>
        <w:jc w:val="center"/>
      </w:pPr>
      <w:r>
        <w:rPr>
          <w:rFonts w:ascii="Times New Roman" w:hAnsi="Times New Roman"/>
          <w:b w:val="0"/>
          <w:i/>
          <w:color w:val="000000"/>
          <w:sz w:val="20"/>
        </w:rPr>
        <w:t>X_i = [T_i] || [C_i] || [D_i] || [R_i] || [B_i] || [ET_i] || [RE_i] || [RED_i] || [I_i] || [F_i]</w:t>
        <w:tab/>
        <w:tab/>
      </w:r>
      <w:r>
        <w:rPr>
          <w:rFonts w:ascii="Times New Roman" w:hAnsi="Times New Roman"/>
          <w:b w:val="0"/>
          <w:i w:val="0"/>
          <w:color w:val="000000"/>
          <w:sz w:val="20"/>
        </w:rPr>
        <w:t>(1)</w:t>
      </w:r>
    </w:p>
    <w:p>
      <w:pPr>
        <w:spacing w:line="252" w:lineRule="auto" w:after="80"/>
        <w:ind w:firstLine="216"/>
        <w:jc w:val="both"/>
      </w:pPr>
      <w:r>
        <w:rPr>
          <w:rFonts w:ascii="Times New Roman" w:hAnsi="Times New Roman"/>
          <w:b w:val="0"/>
          <w:i w:val="0"/>
          <w:color w:val="000000"/>
          <w:sz w:val="20"/>
        </w:rPr>
        <w:t>where || represents string concatenation. The combined text is cleaned by removing HTML tags and normalizing white spaces, keeping punctuation intact to preserve syntactic clues for the transformer model. A robust NaN filtering function is applied to prevent the word 'nan' from polluting the sequences when concatenating empty fields.</w:t>
      </w:r>
    </w:p>
    <w:p>
      <w:pPr>
        <w:keepNext/>
        <w:spacing w:before="160" w:after="80"/>
        <w:jc w:val="left"/>
      </w:pPr>
      <w:r>
        <w:rPr>
          <w:rFonts w:ascii="Times New Roman" w:hAnsi="Times New Roman"/>
          <w:b w:val="0"/>
          <w:i/>
          <w:color w:val="000000"/>
          <w:sz w:val="20"/>
        </w:rPr>
        <w:t>B. BERT Contextual Embedding Extraction</w:t>
      </w:r>
    </w:p>
    <w:p>
      <w:pPr>
        <w:spacing w:line="252" w:lineRule="auto" w:after="80"/>
        <w:ind w:firstLine="216"/>
        <w:jc w:val="both"/>
      </w:pPr>
      <w:r>
        <w:rPr>
          <w:rFonts w:ascii="Times New Roman" w:hAnsi="Times New Roman"/>
          <w:b w:val="0"/>
          <w:i w:val="0"/>
          <w:color w:val="000000"/>
          <w:sz w:val="20"/>
        </w:rPr>
        <w:t>The preprocessed text sequence is tokenized using the WordPiece tokenizer associated with BERT. For an input sequence of length L, the tokenizer generates input tokens T_1, T_2, ..., T_L, including the classification token [CLS] at the beginning.</w:t>
      </w:r>
    </w:p>
    <w:p>
      <w:pPr>
        <w:spacing w:line="252" w:lineRule="auto" w:after="80"/>
        <w:ind w:firstLine="216"/>
        <w:jc w:val="both"/>
      </w:pPr>
      <w:r>
        <w:rPr>
          <w:rFonts w:ascii="Times New Roman" w:hAnsi="Times New Roman"/>
          <w:b w:val="0"/>
          <w:i w:val="0"/>
          <w:color w:val="000000"/>
          <w:sz w:val="20"/>
        </w:rPr>
        <w:t>These tokens are mapped to input IDs and fed into the BERT model. BERT encodes the tokens to output a sequence of contextual hidden states:</w:t>
      </w:r>
    </w:p>
    <w:p>
      <w:pPr>
        <w:spacing w:before="120" w:after="120"/>
        <w:jc w:val="center"/>
      </w:pPr>
      <w:r>
        <w:rPr>
          <w:rFonts w:ascii="Times New Roman" w:hAnsi="Times New Roman"/>
          <w:b w:val="0"/>
          <w:i/>
          <w:color w:val="000000"/>
          <w:sz w:val="20"/>
        </w:rPr>
        <w:t>H = BERT(I, A) ∈ ℝ^(B × L × D)</w:t>
        <w:tab/>
        <w:tab/>
      </w:r>
      <w:r>
        <w:rPr>
          <w:rFonts w:ascii="Times New Roman" w:hAnsi="Times New Roman"/>
          <w:b w:val="0"/>
          <w:i w:val="0"/>
          <w:color w:val="000000"/>
          <w:sz w:val="20"/>
        </w:rPr>
        <w:t>(2)</w:t>
      </w:r>
    </w:p>
    <w:p>
      <w:pPr>
        <w:spacing w:line="252" w:lineRule="auto" w:after="80"/>
        <w:ind w:firstLine="216"/>
        <w:jc w:val="both"/>
      </w:pPr>
      <w:r>
        <w:rPr>
          <w:rFonts w:ascii="Times New Roman" w:hAnsi="Times New Roman"/>
          <w:b w:val="0"/>
          <w:i w:val="0"/>
          <w:color w:val="000000"/>
          <w:sz w:val="20"/>
        </w:rPr>
        <w:t>where B is the batch size, L is the sequence length (L = 512), D is the hidden embedding dimension (D = 768), I represents input IDs, and A represents the attention masks. Unlike standalone BERT architectures that only use the classification token embedding H_0 ∈ ℝ^(B × 1 × D), our model retains the full sequence representation H ∈ ℝ^(B × L × D) to serve as sequential inputs for the subsequent recurrent layers, preventing the loss of localized sequence dependencies.</w:t>
      </w:r>
    </w:p>
    <w:p>
      <w:pPr>
        <w:spacing w:before="160" w:after="80"/>
        <w:jc w:val="center"/>
      </w:pPr>
      <w:r>
        <w:drawing>
          <wp:inline xmlns:a="http://schemas.openxmlformats.org/drawingml/2006/main" xmlns:pic="http://schemas.openxmlformats.org/drawingml/2006/picture">
            <wp:extent cx="2926080" cy="4896638"/>
            <wp:docPr id="1" name="Picture 1"/>
            <wp:cNvGraphicFramePr>
              <a:graphicFrameLocks noChangeAspect="1"/>
            </wp:cNvGraphicFramePr>
            <a:graphic>
              <a:graphicData uri="http://schemas.openxmlformats.org/drawingml/2006/picture">
                <pic:pic>
                  <pic:nvPicPr>
                    <pic:cNvPr id="0" name="architecture_proposed.png"/>
                    <pic:cNvPicPr/>
                  </pic:nvPicPr>
                  <pic:blipFill>
                    <a:blip r:embed="rId9"/>
                    <a:stretch>
                      <a:fillRect/>
                    </a:stretch>
                  </pic:blipFill>
                  <pic:spPr>
                    <a:xfrm>
                      <a:off x="0" y="0"/>
                      <a:ext cx="2926080" cy="4896638"/>
                    </a:xfrm>
                    <a:prstGeom prst="rect"/>
                  </pic:spPr>
                </pic:pic>
              </a:graphicData>
            </a:graphic>
          </wp:inline>
        </w:drawing>
      </w:r>
    </w:p>
    <w:p>
      <w:pPr>
        <w:spacing w:after="160"/>
        <w:jc w:val="center"/>
      </w:pPr>
      <w:r>
        <w:rPr>
          <w:rFonts w:ascii="Times New Roman" w:hAnsi="Times New Roman"/>
          <w:b w:val="0"/>
          <w:i w:val="0"/>
          <w:color w:val="000000"/>
          <w:sz w:val="16"/>
        </w:rPr>
        <w:t>Fig. 1. System Architecture of the Proposed Hybrid BERT-BiLSTM framework.</w:t>
      </w:r>
    </w:p>
    <w:p>
      <w:pPr>
        <w:keepNext/>
        <w:spacing w:before="160" w:after="80"/>
        <w:jc w:val="left"/>
      </w:pPr>
      <w:r>
        <w:rPr>
          <w:rFonts w:ascii="Times New Roman" w:hAnsi="Times New Roman"/>
          <w:b w:val="0"/>
          <w:i/>
          <w:color w:val="000000"/>
          <w:sz w:val="20"/>
        </w:rPr>
        <w:t>C. Bi-LSTM Sequential Classification</w:t>
      </w:r>
    </w:p>
    <w:p>
      <w:pPr>
        <w:spacing w:line="252" w:lineRule="auto" w:after="80"/>
        <w:ind w:firstLine="216"/>
        <w:jc w:val="both"/>
      </w:pPr>
      <w:r>
        <w:rPr>
          <w:rFonts w:ascii="Times New Roman" w:hAnsi="Times New Roman"/>
          <w:b w:val="0"/>
          <w:i w:val="0"/>
          <w:color w:val="000000"/>
          <w:sz w:val="20"/>
        </w:rPr>
        <w:t>To model the bidirectional context and long-range dependencies of the sequence, the hidden states H are passed into a Bidirectional LSTM layer. The Bi-LSTM processes the sequence in both forward and backward directions:</w:t>
      </w:r>
    </w:p>
    <w:p>
      <w:pPr>
        <w:spacing w:before="120" w:after="120"/>
        <w:jc w:val="center"/>
      </w:pPr>
      <w:r>
        <w:rPr>
          <w:rFonts w:ascii="Times New Roman" w:hAnsi="Times New Roman"/>
          <w:b w:val="0"/>
          <w:i/>
          <w:color w:val="000000"/>
          <w:sz w:val="20"/>
        </w:rPr>
        <w:t>h_t_fwd = LSTM_fwd(H_t, h_(t-1)_fwd)</w:t>
        <w:tab/>
        <w:tab/>
      </w:r>
      <w:r>
        <w:rPr>
          <w:rFonts w:ascii="Times New Roman" w:hAnsi="Times New Roman"/>
          <w:b w:val="0"/>
          <w:i w:val="0"/>
          <w:color w:val="000000"/>
          <w:sz w:val="20"/>
        </w:rPr>
        <w:t>(3)</w:t>
      </w:r>
    </w:p>
    <w:p>
      <w:pPr>
        <w:spacing w:before="120" w:after="120"/>
        <w:jc w:val="center"/>
      </w:pPr>
      <w:r>
        <w:rPr>
          <w:rFonts w:ascii="Times New Roman" w:hAnsi="Times New Roman"/>
          <w:b w:val="0"/>
          <w:i/>
          <w:color w:val="000000"/>
          <w:sz w:val="20"/>
        </w:rPr>
        <w:t>h_t_bwd = LSTM_bwd(H_t, h_(t+1)_bwd)</w:t>
        <w:tab/>
        <w:tab/>
      </w:r>
      <w:r>
        <w:rPr>
          <w:rFonts w:ascii="Times New Roman" w:hAnsi="Times New Roman"/>
          <w:b w:val="0"/>
          <w:i w:val="0"/>
          <w:color w:val="000000"/>
          <w:sz w:val="20"/>
        </w:rPr>
        <w:t>(4)</w:t>
      </w:r>
    </w:p>
    <w:p>
      <w:pPr>
        <w:spacing w:line="252" w:lineRule="auto" w:after="80"/>
        <w:ind w:firstLine="216"/>
        <w:jc w:val="both"/>
      </w:pPr>
      <w:r>
        <w:rPr>
          <w:rFonts w:ascii="Times New Roman" w:hAnsi="Times New Roman"/>
          <w:b w:val="0"/>
          <w:i w:val="0"/>
          <w:color w:val="000000"/>
          <w:sz w:val="20"/>
        </w:rPr>
        <w:t>For each token t, the forward and backward hidden states are concatenated to yield the complete bidirectional hidden state:</w:t>
      </w:r>
    </w:p>
    <w:p>
      <w:pPr>
        <w:spacing w:before="120" w:after="120"/>
        <w:jc w:val="center"/>
      </w:pPr>
      <w:r>
        <w:rPr>
          <w:rFonts w:ascii="Times New Roman" w:hAnsi="Times New Roman"/>
          <w:b w:val="0"/>
          <w:i/>
          <w:color w:val="000000"/>
          <w:sz w:val="20"/>
        </w:rPr>
        <w:t>h_t = [h_t_fwd || h_t_bwd] ∈ ℝ^(2 × D_lstm)</w:t>
        <w:tab/>
        <w:tab/>
      </w:r>
      <w:r>
        <w:rPr>
          <w:rFonts w:ascii="Times New Roman" w:hAnsi="Times New Roman"/>
          <w:b w:val="0"/>
          <w:i w:val="0"/>
          <w:color w:val="000000"/>
          <w:sz w:val="20"/>
        </w:rPr>
        <w:t>(5)</w:t>
      </w:r>
    </w:p>
    <w:p>
      <w:pPr>
        <w:spacing w:line="252" w:lineRule="auto" w:after="80"/>
        <w:ind w:firstLine="216"/>
        <w:jc w:val="both"/>
      </w:pPr>
      <w:r>
        <w:rPr>
          <w:rFonts w:ascii="Times New Roman" w:hAnsi="Times New Roman"/>
          <w:b w:val="0"/>
          <w:i w:val="0"/>
          <w:color w:val="000000"/>
          <w:sz w:val="20"/>
        </w:rPr>
        <w:t>where D_lstm is the hidden dimension of each LSTM direction (D_lstm = 128). The full sequence output of the Bi-LSTM is represented as Y ∈ ℝ^(B × L × 2D_lstm). To aggregate the sequence into a single classification vector, we apply global max pooling and global average pooling over the sequence dimension, concatenating the outputs to capture both key local triggers and general temporal patterns:</w:t>
      </w:r>
    </w:p>
    <w:p>
      <w:pPr>
        <w:spacing w:before="120" w:after="120"/>
        <w:jc w:val="center"/>
      </w:pPr>
      <w:r>
        <w:rPr>
          <w:rFonts w:ascii="Times New Roman" w:hAnsi="Times New Roman"/>
          <w:b w:val="0"/>
          <w:i/>
          <w:color w:val="000000"/>
          <w:sz w:val="20"/>
        </w:rPr>
        <w:t>Z_j = [max_(1 ≤ t ≤ L) Y_(j, t, :) || avg_(1 ≤ t ≤ L) Y_(j, t, :)] ∈ ℝ^(4D_lstm)</w:t>
        <w:tab/>
        <w:tab/>
      </w:r>
      <w:r>
        <w:rPr>
          <w:rFonts w:ascii="Times New Roman" w:hAnsi="Times New Roman"/>
          <w:b w:val="0"/>
          <w:i w:val="0"/>
          <w:color w:val="000000"/>
          <w:sz w:val="20"/>
        </w:rPr>
        <w:t>(6)</w:t>
      </w:r>
    </w:p>
    <w:p>
      <w:pPr>
        <w:spacing w:line="252" w:lineRule="auto" w:after="80"/>
        <w:ind w:firstLine="216"/>
        <w:jc w:val="both"/>
      </w:pPr>
      <w:r>
        <w:rPr>
          <w:rFonts w:ascii="Times New Roman" w:hAnsi="Times New Roman"/>
          <w:b w:val="0"/>
          <w:i w:val="0"/>
          <w:color w:val="000000"/>
          <w:sz w:val="20"/>
        </w:rPr>
        <w:t>Finally, the pooled representation Z is passed through a dense feedforward network with dropout regularization to output the raw class logits:</w:t>
      </w:r>
    </w:p>
    <w:p>
      <w:pPr>
        <w:spacing w:before="120" w:after="120"/>
        <w:jc w:val="center"/>
      </w:pPr>
      <w:r>
        <w:rPr>
          <w:rFonts w:ascii="Times New Roman" w:hAnsi="Times New Roman"/>
          <w:b w:val="0"/>
          <w:i/>
          <w:color w:val="000000"/>
          <w:sz w:val="20"/>
        </w:rPr>
        <w:t>ŷ = Linear(ReLU(Dropout(Linear(Z))))</w:t>
        <w:tab/>
        <w:tab/>
      </w:r>
      <w:r>
        <w:rPr>
          <w:rFonts w:ascii="Times New Roman" w:hAnsi="Times New Roman"/>
          <w:b w:val="0"/>
          <w:i w:val="0"/>
          <w:color w:val="000000"/>
          <w:sz w:val="20"/>
        </w:rPr>
        <w:t>(7)</w:t>
      </w:r>
    </w:p>
    <w:p>
      <w:pPr>
        <w:spacing w:line="252" w:lineRule="auto" w:after="80"/>
        <w:ind w:firstLine="216"/>
        <w:jc w:val="both"/>
      </w:pPr>
      <w:r>
        <w:rPr>
          <w:rFonts w:ascii="Times New Roman" w:hAnsi="Times New Roman"/>
          <w:b w:val="0"/>
          <w:i w:val="0"/>
          <w:color w:val="000000"/>
          <w:sz w:val="20"/>
        </w:rPr>
        <w:t>The model is optimized using binary cross-entropy with a positive class weight (w_pos) to adjust gradients for the minority class, ensuring robustness under severe data imbalance:</w:t>
      </w:r>
    </w:p>
    <w:p>
      <w:pPr>
        <w:spacing w:before="120" w:after="120"/>
        <w:jc w:val="center"/>
      </w:pPr>
      <w:r>
        <w:rPr>
          <w:rFonts w:ascii="Times New Roman" w:hAnsi="Times New Roman"/>
          <w:b w:val="0"/>
          <w:i/>
          <w:color w:val="000000"/>
          <w:sz w:val="20"/>
        </w:rPr>
        <w:t>L = - [ w_pos × y log(σ(ŷ)) + (1 - y) log(1 - σ(ŷ)) ]</w:t>
        <w:tab/>
        <w:tab/>
      </w:r>
      <w:r>
        <w:rPr>
          <w:rFonts w:ascii="Times New Roman" w:hAnsi="Times New Roman"/>
          <w:b w:val="0"/>
          <w:i w:val="0"/>
          <w:color w:val="000000"/>
          <w:sz w:val="20"/>
        </w:rPr>
        <w:t>(8)</w:t>
      </w:r>
    </w:p>
    <w:p>
      <w:pPr>
        <w:spacing w:line="252" w:lineRule="auto" w:after="80"/>
        <w:ind w:firstLine="216"/>
        <w:jc w:val="both"/>
      </w:pPr>
      <w:r>
        <w:rPr>
          <w:rFonts w:ascii="Times New Roman" w:hAnsi="Times New Roman"/>
          <w:b w:val="0"/>
          <w:i w:val="0"/>
          <w:color w:val="000000"/>
          <w:sz w:val="20"/>
        </w:rPr>
        <w:t>where σ is the sigmoid activation function and y ∈ {0, 1} represents the ground truth label.</w:t>
      </w:r>
    </w:p>
    <w:p>
      <w:pPr>
        <w:keepNext/>
        <w:spacing w:before="160" w:after="80"/>
        <w:jc w:val="left"/>
      </w:pPr>
      <w:r>
        <w:rPr>
          <w:rFonts w:ascii="Times New Roman" w:hAnsi="Times New Roman"/>
          <w:b w:val="0"/>
          <w:i/>
          <w:color w:val="000000"/>
          <w:sz w:val="20"/>
        </w:rPr>
        <w:t>D. Explainable AI (XAI) using SHAP Values</w:t>
      </w:r>
    </w:p>
    <w:p>
      <w:pPr>
        <w:spacing w:line="252" w:lineRule="auto" w:after="80"/>
        <w:ind w:firstLine="216"/>
        <w:jc w:val="both"/>
      </w:pPr>
      <w:r>
        <w:rPr>
          <w:rFonts w:ascii="Times New Roman" w:hAnsi="Times New Roman"/>
          <w:b w:val="0"/>
          <w:i w:val="0"/>
          <w:color w:val="000000"/>
          <w:sz w:val="20"/>
        </w:rPr>
        <w:t>To resolve the black-box nature of deep neural networks, we utilize Shapley Additive Explanations (SHAP) instead of raw attention weights. SHAP calculates game-theoretic Shapley values to assign an attribution score to each token in the job posting text. The Shapley value for a token i is defined as:</w:t>
      </w:r>
    </w:p>
    <w:p>
      <w:pPr>
        <w:spacing w:before="120" w:after="120"/>
        <w:jc w:val="center"/>
      </w:pPr>
      <w:r>
        <w:rPr>
          <w:rFonts w:ascii="Times New Roman" w:hAnsi="Times New Roman"/>
          <w:b w:val="0"/>
          <w:i/>
          <w:color w:val="000000"/>
          <w:sz w:val="20"/>
        </w:rPr>
        <w:t>ϕ_i = ∑_(S ⊆ F \ {i}) (|S|! (|F| - |S| - 1)!) / |F|! [ f_x(S ∪ {i}) - f_x(S) ]</w:t>
        <w:tab/>
        <w:tab/>
      </w:r>
      <w:r>
        <w:rPr>
          <w:rFonts w:ascii="Times New Roman" w:hAnsi="Times New Roman"/>
          <w:b w:val="0"/>
          <w:i w:val="0"/>
          <w:color w:val="000000"/>
          <w:sz w:val="20"/>
        </w:rPr>
        <w:t>(9)</w:t>
      </w:r>
    </w:p>
    <w:p>
      <w:pPr>
        <w:spacing w:line="252" w:lineRule="auto" w:after="80"/>
        <w:ind w:firstLine="216"/>
        <w:jc w:val="both"/>
      </w:pPr>
      <w:r>
        <w:rPr>
          <w:rFonts w:ascii="Times New Roman" w:hAnsi="Times New Roman"/>
          <w:b w:val="0"/>
          <w:i w:val="0"/>
          <w:color w:val="000000"/>
          <w:sz w:val="20"/>
        </w:rPr>
        <w:t>where F is the set of all input tokens, S is a subset of tokens excluding token i, and f_x(S) is the model output conditioned on S. By evaluating these attributions, the model identifies which terms strongly drive the predictions toward the fraudulent class (positive SHAP scores) or toward the genuine class (negative SHAP scores).</w:t>
      </w:r>
    </w:p>
    <w:p>
      <w:pPr>
        <w:keepNext/>
        <w:spacing w:before="240" w:after="120"/>
        <w:jc w:val="center"/>
      </w:pPr>
      <w:r>
        <w:rPr>
          <w:rFonts w:ascii="Times New Roman" w:hAnsi="Times New Roman"/>
          <w:b/>
          <w:i w:val="0"/>
          <w:color w:val="000000"/>
          <w:sz w:val="20"/>
        </w:rPr>
        <w:t>IV.  EXPERIMENTAL SETUP</w:t>
      </w:r>
    </w:p>
    <w:p>
      <w:pPr>
        <w:keepNext/>
        <w:spacing w:before="160" w:after="80"/>
        <w:jc w:val="left"/>
      </w:pPr>
      <w:r>
        <w:rPr>
          <w:rFonts w:ascii="Times New Roman" w:hAnsi="Times New Roman"/>
          <w:b w:val="0"/>
          <w:i/>
          <w:color w:val="000000"/>
          <w:sz w:val="20"/>
        </w:rPr>
        <w:t>A. Dataset Description</w:t>
      </w:r>
    </w:p>
    <w:p>
      <w:pPr>
        <w:spacing w:line="252" w:lineRule="auto" w:after="80"/>
        <w:ind w:firstLine="216"/>
        <w:jc w:val="both"/>
      </w:pPr>
      <w:r>
        <w:rPr>
          <w:rFonts w:ascii="Times New Roman" w:hAnsi="Times New Roman"/>
          <w:b w:val="0"/>
          <w:i w:val="0"/>
          <w:color w:val="000000"/>
          <w:sz w:val="20"/>
        </w:rPr>
        <w:t>The model is validated using the Kaggle Real/Fake Job Posting Prediction dataset (EMSCAD). The dataset consists of 17,880 observations. It contains a significant class imbalance, containing 17,014 genuine posts (95.16%) and only 866 fraudulent posts (4.84%). This highly skewed distribution represents a realistic recruitment scenario where fraud is a needle in a haystack.</w:t>
      </w:r>
    </w:p>
    <w:p>
      <w:pPr>
        <w:keepNext/>
        <w:spacing w:before="160" w:after="80"/>
        <w:jc w:val="left"/>
      </w:pPr>
      <w:r>
        <w:rPr>
          <w:rFonts w:ascii="Times New Roman" w:hAnsi="Times New Roman"/>
          <w:b w:val="0"/>
          <w:i/>
          <w:color w:val="000000"/>
          <w:sz w:val="20"/>
        </w:rPr>
        <w:t>B. Evaluation Splits and Settings</w:t>
      </w:r>
    </w:p>
    <w:p>
      <w:pPr>
        <w:spacing w:line="252" w:lineRule="auto" w:after="80"/>
        <w:ind w:firstLine="216"/>
        <w:jc w:val="both"/>
      </w:pPr>
      <w:r>
        <w:rPr>
          <w:rFonts w:ascii="Times New Roman" w:hAnsi="Times New Roman"/>
          <w:b w:val="0"/>
          <w:i w:val="0"/>
          <w:color w:val="000000"/>
          <w:sz w:val="20"/>
        </w:rPr>
        <w:t>The dataset is split into training (70%), validation (10%), and test (20%) sets using stratified sampling to maintain the class distribution across all splits. Training is performed on a Google Colab GPU runtime (T4 GPU). The maximum sequence length is set to 512 tokens. We train the baseline ML models on CPU. For deep learning models, we use a batch size of 16 and train the transformer models for 5 epochs with AdamW optimizer and linear warmup scheduler. Fine-tuning takes approximately 21 minutes per epoch on the T4 GPU.</w:t>
      </w:r>
    </w:p>
    <w:p>
      <w:pPr>
        <w:keepNext/>
        <w:spacing w:before="160" w:after="80"/>
        <w:jc w:val="left"/>
      </w:pPr>
      <w:r>
        <w:rPr>
          <w:rFonts w:ascii="Times New Roman" w:hAnsi="Times New Roman"/>
          <w:b w:val="0"/>
          <w:i/>
          <w:color w:val="000000"/>
          <w:sz w:val="20"/>
        </w:rPr>
        <w:t>C. Baseline Models</w:t>
      </w:r>
    </w:p>
    <w:p>
      <w:pPr>
        <w:spacing w:line="252" w:lineRule="auto" w:after="80"/>
        <w:ind w:firstLine="216"/>
        <w:jc w:val="both"/>
      </w:pPr>
      <w:r>
        <w:rPr>
          <w:rFonts w:ascii="Times New Roman" w:hAnsi="Times New Roman"/>
          <w:b w:val="0"/>
          <w:i w:val="0"/>
          <w:color w:val="000000"/>
          <w:sz w:val="20"/>
        </w:rPr>
        <w:t xml:space="preserve">The proposed hybrid architecture is benchmarked against the following configurations: (1) </w:t>
      </w:r>
      <w:r>
        <w:rPr>
          <w:rFonts w:ascii="Times New Roman" w:hAnsi="Times New Roman"/>
          <w:b/>
          <w:i w:val="0"/>
          <w:color w:val="000000"/>
          <w:sz w:val="20"/>
        </w:rPr>
        <w:t>Logistic Regression (TF-IDF)</w:t>
      </w:r>
      <w:r>
        <w:rPr>
          <w:rFonts w:ascii="Times New Roman" w:hAnsi="Times New Roman"/>
          <w:b w:val="0"/>
          <w:i w:val="0"/>
          <w:color w:val="000000"/>
          <w:sz w:val="20"/>
        </w:rPr>
        <w:t xml:space="preserve">: Classical linear model trained on TF-IDF features with class_weight='balanced'. (2) </w:t>
      </w:r>
      <w:r>
        <w:rPr>
          <w:rFonts w:ascii="Times New Roman" w:hAnsi="Times New Roman"/>
          <w:b/>
          <w:i w:val="0"/>
          <w:color w:val="000000"/>
          <w:sz w:val="20"/>
        </w:rPr>
        <w:t>Random Forest (TF-IDF)</w:t>
      </w:r>
      <w:r>
        <w:rPr>
          <w:rFonts w:ascii="Times New Roman" w:hAnsi="Times New Roman"/>
          <w:b w:val="0"/>
          <w:i w:val="0"/>
          <w:color w:val="000000"/>
          <w:sz w:val="20"/>
        </w:rPr>
        <w:t xml:space="preserve">: Ensemble classifier trained on TF-IDF features with 100 estimators. (3) </w:t>
      </w:r>
      <w:r>
        <w:rPr>
          <w:rFonts w:ascii="Times New Roman" w:hAnsi="Times New Roman"/>
          <w:b/>
          <w:i w:val="0"/>
          <w:color w:val="000000"/>
          <w:sz w:val="20"/>
        </w:rPr>
        <w:t>Standard Bi-LSTM</w:t>
      </w:r>
      <w:r>
        <w:rPr>
          <w:rFonts w:ascii="Times New Roman" w:hAnsi="Times New Roman"/>
          <w:b w:val="0"/>
          <w:i w:val="0"/>
          <w:color w:val="000000"/>
          <w:sz w:val="20"/>
        </w:rPr>
        <w:t xml:space="preserve">: A PyTorch Bi-LSTM using an end-to-end trained word embedding layer of dimension 100. (4) </w:t>
      </w:r>
      <w:r>
        <w:rPr>
          <w:rFonts w:ascii="Times New Roman" w:hAnsi="Times New Roman"/>
          <w:b/>
          <w:i w:val="0"/>
          <w:color w:val="000000"/>
          <w:sz w:val="20"/>
        </w:rPr>
        <w:t>Standalone BERT Classifier</w:t>
      </w:r>
      <w:r>
        <w:rPr>
          <w:rFonts w:ascii="Times New Roman" w:hAnsi="Times New Roman"/>
          <w:b w:val="0"/>
          <w:i w:val="0"/>
          <w:color w:val="000000"/>
          <w:sz w:val="20"/>
        </w:rPr>
        <w:t>: A fine-tuned BERT-base model mapping the final [CLS] representation directly to a single logit.</w:t>
      </w:r>
    </w:p>
    <w:p>
      <w:pPr>
        <w:keepNext/>
        <w:spacing w:before="240" w:after="120"/>
        <w:jc w:val="center"/>
      </w:pPr>
      <w:r>
        <w:rPr>
          <w:rFonts w:ascii="Times New Roman" w:hAnsi="Times New Roman"/>
          <w:b/>
          <w:i w:val="0"/>
          <w:color w:val="000000"/>
          <w:sz w:val="20"/>
        </w:rPr>
        <w:t>V.  RESULTS AND DISCUSSION</w:t>
      </w:r>
    </w:p>
    <w:p>
      <w:pPr>
        <w:keepNext/>
        <w:spacing w:before="160" w:after="80"/>
        <w:jc w:val="left"/>
      </w:pPr>
      <w:r>
        <w:rPr>
          <w:rFonts w:ascii="Times New Roman" w:hAnsi="Times New Roman"/>
          <w:b w:val="0"/>
          <w:i/>
          <w:color w:val="000000"/>
          <w:sz w:val="20"/>
        </w:rPr>
        <w:t>A. Quantitative Results</w:t>
      </w:r>
    </w:p>
    <w:p>
      <w:pPr>
        <w:spacing w:line="252" w:lineRule="auto" w:after="80"/>
        <w:ind w:firstLine="216"/>
        <w:jc w:val="both"/>
      </w:pPr>
      <w:r>
        <w:rPr>
          <w:rFonts w:ascii="Times New Roman" w:hAnsi="Times New Roman"/>
          <w:b w:val="0"/>
          <w:i w:val="0"/>
          <w:color w:val="000000"/>
          <w:sz w:val="20"/>
        </w:rPr>
        <w:t>The models were evaluated on the test set using standard classification metrics: Accuracy (Acc), Precision (Prec), Recall (Rec), F1-score (F1), and Area Under the ROC Curve (ROC-AUC). both positive class (Class 1) and Macro average metrics are reported.</w:t>
      </w:r>
    </w:p>
    <w:tbl>
      <w:tblPr>
        <w:tblStyle w:val="LightShading-Accent1"/>
        <w:tblW w:type="auto" w:w="0"/>
        <w:tblLook w:firstColumn="1" w:firstRow="1" w:lastColumn="0" w:lastRow="0" w:noHBand="0" w:noVBand="1" w:val="04A0"/>
      </w:tblPr>
      <w:tblGrid>
        <w:gridCol w:w="1491"/>
        <w:gridCol w:w="1491"/>
        <w:gridCol w:w="1491"/>
        <w:gridCol w:w="1491"/>
        <w:gridCol w:w="1491"/>
        <w:gridCol w:w="1491"/>
        <w:gridCol w:w="1491"/>
      </w:tblGrid>
      <w:tr>
        <w:tc>
          <w:tcPr>
            <w:tcW w:type="dxa" w:w="1491"/>
          </w:tcPr>
          <w:p>
            <w:pPr>
              <w:jc w:val="center"/>
            </w:pPr>
            <w:r>
              <w:rPr>
                <w:rFonts w:ascii="Times New Roman" w:hAnsi="Times New Roman"/>
                <w:b/>
                <w:i w:val="0"/>
                <w:color w:val="000000"/>
                <w:sz w:val="18"/>
              </w:rPr>
              <w:t>Model</w:t>
            </w:r>
          </w:p>
        </w:tc>
        <w:tc>
          <w:tcPr>
            <w:tcW w:type="dxa" w:w="1491"/>
          </w:tcPr>
          <w:p>
            <w:pPr>
              <w:jc w:val="center"/>
            </w:pPr>
            <w:r>
              <w:rPr>
                <w:rFonts w:ascii="Times New Roman" w:hAnsi="Times New Roman"/>
                <w:b/>
                <w:i w:val="0"/>
                <w:color w:val="000000"/>
                <w:sz w:val="18"/>
              </w:rPr>
              <w:t>Acc</w:t>
            </w:r>
          </w:p>
        </w:tc>
        <w:tc>
          <w:tcPr>
            <w:tcW w:type="dxa" w:w="1491"/>
          </w:tcPr>
          <w:p>
            <w:pPr>
              <w:jc w:val="center"/>
            </w:pPr>
            <w:r>
              <w:rPr>
                <w:rFonts w:ascii="Times New Roman" w:hAnsi="Times New Roman"/>
                <w:b/>
                <w:i w:val="0"/>
                <w:color w:val="000000"/>
                <w:sz w:val="18"/>
              </w:rPr>
              <w:t>Prec</w:t>
            </w:r>
          </w:p>
        </w:tc>
        <w:tc>
          <w:tcPr>
            <w:tcW w:type="dxa" w:w="1491"/>
          </w:tcPr>
          <w:p>
            <w:pPr>
              <w:jc w:val="center"/>
            </w:pPr>
            <w:r>
              <w:rPr>
                <w:rFonts w:ascii="Times New Roman" w:hAnsi="Times New Roman"/>
                <w:b/>
                <w:i w:val="0"/>
                <w:color w:val="000000"/>
                <w:sz w:val="18"/>
              </w:rPr>
              <w:t>Rec</w:t>
            </w:r>
          </w:p>
        </w:tc>
        <w:tc>
          <w:tcPr>
            <w:tcW w:type="dxa" w:w="1491"/>
          </w:tcPr>
          <w:p>
            <w:pPr>
              <w:jc w:val="center"/>
            </w:pPr>
            <w:r>
              <w:rPr>
                <w:rFonts w:ascii="Times New Roman" w:hAnsi="Times New Roman"/>
                <w:b/>
                <w:i w:val="0"/>
                <w:color w:val="000000"/>
                <w:sz w:val="18"/>
              </w:rPr>
              <w:t>F1</w:t>
            </w:r>
          </w:p>
        </w:tc>
        <w:tc>
          <w:tcPr>
            <w:tcW w:type="dxa" w:w="1491"/>
          </w:tcPr>
          <w:p>
            <w:pPr>
              <w:jc w:val="center"/>
            </w:pPr>
            <w:r>
              <w:rPr>
                <w:rFonts w:ascii="Times New Roman" w:hAnsi="Times New Roman"/>
                <w:b/>
                <w:i w:val="0"/>
                <w:color w:val="000000"/>
                <w:sz w:val="18"/>
              </w:rPr>
              <w:t>Macro F1</w:t>
            </w:r>
          </w:p>
        </w:tc>
        <w:tc>
          <w:tcPr>
            <w:tcW w:type="dxa" w:w="1491"/>
          </w:tcPr>
          <w:p>
            <w:pPr>
              <w:jc w:val="center"/>
            </w:pPr>
            <w:r>
              <w:rPr>
                <w:rFonts w:ascii="Times New Roman" w:hAnsi="Times New Roman"/>
                <w:b/>
                <w:i w:val="0"/>
                <w:color w:val="000000"/>
                <w:sz w:val="18"/>
              </w:rPr>
              <w:t>AUC</w:t>
            </w:r>
          </w:p>
        </w:tc>
      </w:tr>
      <w:tr>
        <w:tc>
          <w:tcPr>
            <w:tcW w:type="dxa" w:w="1491"/>
          </w:tcPr>
          <w:p>
            <w:pPr>
              <w:jc w:val="left"/>
            </w:pPr>
            <w:r>
              <w:rPr>
                <w:rFonts w:ascii="Times New Roman" w:hAnsi="Times New Roman"/>
                <w:b w:val="0"/>
                <w:i w:val="0"/>
                <w:color w:val="000000"/>
                <w:sz w:val="18"/>
              </w:rPr>
              <w:t>Logistic Regression</w:t>
            </w:r>
          </w:p>
        </w:tc>
        <w:tc>
          <w:tcPr>
            <w:tcW w:type="dxa" w:w="1491"/>
          </w:tcPr>
          <w:p>
            <w:pPr>
              <w:jc w:val="center"/>
            </w:pPr>
            <w:r>
              <w:rPr>
                <w:rFonts w:ascii="Times New Roman" w:hAnsi="Times New Roman"/>
                <w:b w:val="0"/>
                <w:i w:val="0"/>
                <w:color w:val="000000"/>
                <w:sz w:val="18"/>
              </w:rPr>
              <w:t>96.84%</w:t>
            </w:r>
          </w:p>
        </w:tc>
        <w:tc>
          <w:tcPr>
            <w:tcW w:type="dxa" w:w="1491"/>
          </w:tcPr>
          <w:p>
            <w:pPr>
              <w:jc w:val="center"/>
            </w:pPr>
            <w:r>
              <w:rPr>
                <w:rFonts w:ascii="Times New Roman" w:hAnsi="Times New Roman"/>
                <w:b w:val="0"/>
                <w:i w:val="0"/>
                <w:color w:val="000000"/>
                <w:sz w:val="18"/>
              </w:rPr>
              <w:t>62.10%</w:t>
            </w:r>
          </w:p>
        </w:tc>
        <w:tc>
          <w:tcPr>
            <w:tcW w:type="dxa" w:w="1491"/>
          </w:tcPr>
          <w:p>
            <w:pPr>
              <w:jc w:val="center"/>
            </w:pPr>
            <w:r>
              <w:rPr>
                <w:rFonts w:ascii="Times New Roman" w:hAnsi="Times New Roman"/>
                <w:b w:val="0"/>
                <w:i w:val="0"/>
                <w:color w:val="000000"/>
                <w:sz w:val="18"/>
              </w:rPr>
              <w:t>89.02%</w:t>
            </w:r>
          </w:p>
        </w:tc>
        <w:tc>
          <w:tcPr>
            <w:tcW w:type="dxa" w:w="1491"/>
          </w:tcPr>
          <w:p>
            <w:pPr>
              <w:jc w:val="center"/>
            </w:pPr>
            <w:r>
              <w:rPr>
                <w:rFonts w:ascii="Times New Roman" w:hAnsi="Times New Roman"/>
                <w:b w:val="0"/>
                <w:i w:val="0"/>
                <w:color w:val="000000"/>
                <w:sz w:val="18"/>
              </w:rPr>
              <w:t>73.16%</w:t>
            </w:r>
          </w:p>
        </w:tc>
        <w:tc>
          <w:tcPr>
            <w:tcW w:type="dxa" w:w="1491"/>
          </w:tcPr>
          <w:p>
            <w:pPr>
              <w:jc w:val="center"/>
            </w:pPr>
            <w:r>
              <w:rPr>
                <w:rFonts w:ascii="Times New Roman" w:hAnsi="Times New Roman"/>
                <w:b w:val="0"/>
                <w:i w:val="0"/>
                <w:color w:val="000000"/>
                <w:sz w:val="18"/>
              </w:rPr>
              <w:t>86.08%</w:t>
            </w:r>
          </w:p>
        </w:tc>
        <w:tc>
          <w:tcPr>
            <w:tcW w:type="dxa" w:w="1491"/>
          </w:tcPr>
          <w:p>
            <w:pPr>
              <w:jc w:val="center"/>
            </w:pPr>
            <w:r>
              <w:rPr>
                <w:rFonts w:ascii="Times New Roman" w:hAnsi="Times New Roman"/>
                <w:b w:val="0"/>
                <w:i w:val="0"/>
                <w:color w:val="000000"/>
                <w:sz w:val="18"/>
              </w:rPr>
              <w:t>98.64%</w:t>
            </w:r>
          </w:p>
        </w:tc>
      </w:tr>
      <w:tr>
        <w:tc>
          <w:tcPr>
            <w:tcW w:type="dxa" w:w="1491"/>
          </w:tcPr>
          <w:p>
            <w:pPr>
              <w:jc w:val="left"/>
            </w:pPr>
            <w:r>
              <w:rPr>
                <w:rFonts w:ascii="Times New Roman" w:hAnsi="Times New Roman"/>
                <w:b w:val="0"/>
                <w:i w:val="0"/>
                <w:color w:val="000000"/>
                <w:sz w:val="18"/>
              </w:rPr>
              <w:t>Random Forest</w:t>
            </w:r>
          </w:p>
        </w:tc>
        <w:tc>
          <w:tcPr>
            <w:tcW w:type="dxa" w:w="1491"/>
          </w:tcPr>
          <w:p>
            <w:pPr>
              <w:jc w:val="center"/>
            </w:pPr>
            <w:r>
              <w:rPr>
                <w:rFonts w:ascii="Times New Roman" w:hAnsi="Times New Roman"/>
                <w:b w:val="0"/>
                <w:i w:val="0"/>
                <w:color w:val="000000"/>
                <w:sz w:val="18"/>
              </w:rPr>
              <w:t>97.85%</w:t>
            </w:r>
          </w:p>
        </w:tc>
        <w:tc>
          <w:tcPr>
            <w:tcW w:type="dxa" w:w="1491"/>
          </w:tcPr>
          <w:p>
            <w:pPr>
              <w:jc w:val="center"/>
            </w:pPr>
            <w:r>
              <w:rPr>
                <w:rFonts w:ascii="Times New Roman" w:hAnsi="Times New Roman"/>
                <w:b w:val="0"/>
                <w:i w:val="0"/>
                <w:color w:val="000000"/>
                <w:sz w:val="18"/>
              </w:rPr>
              <w:t>100.00%</w:t>
            </w:r>
          </w:p>
        </w:tc>
        <w:tc>
          <w:tcPr>
            <w:tcW w:type="dxa" w:w="1491"/>
          </w:tcPr>
          <w:p>
            <w:pPr>
              <w:jc w:val="center"/>
            </w:pPr>
            <w:r>
              <w:rPr>
                <w:rFonts w:ascii="Times New Roman" w:hAnsi="Times New Roman"/>
                <w:b w:val="0"/>
                <w:i w:val="0"/>
                <w:color w:val="000000"/>
                <w:sz w:val="18"/>
              </w:rPr>
              <w:t>55.49%</w:t>
            </w:r>
          </w:p>
        </w:tc>
        <w:tc>
          <w:tcPr>
            <w:tcW w:type="dxa" w:w="1491"/>
          </w:tcPr>
          <w:p>
            <w:pPr>
              <w:jc w:val="center"/>
            </w:pPr>
            <w:r>
              <w:rPr>
                <w:rFonts w:ascii="Times New Roman" w:hAnsi="Times New Roman"/>
                <w:b w:val="0"/>
                <w:i w:val="0"/>
                <w:color w:val="000000"/>
                <w:sz w:val="18"/>
              </w:rPr>
              <w:t>71.38%</w:t>
            </w:r>
          </w:p>
        </w:tc>
        <w:tc>
          <w:tcPr>
            <w:tcW w:type="dxa" w:w="1491"/>
          </w:tcPr>
          <w:p>
            <w:pPr>
              <w:jc w:val="center"/>
            </w:pPr>
            <w:r>
              <w:rPr>
                <w:rFonts w:ascii="Times New Roman" w:hAnsi="Times New Roman"/>
                <w:b w:val="0"/>
                <w:i w:val="0"/>
                <w:color w:val="000000"/>
                <w:sz w:val="18"/>
              </w:rPr>
              <w:t>85.20%</w:t>
            </w:r>
          </w:p>
        </w:tc>
        <w:tc>
          <w:tcPr>
            <w:tcW w:type="dxa" w:w="1491"/>
          </w:tcPr>
          <w:p>
            <w:pPr>
              <w:jc w:val="center"/>
            </w:pPr>
            <w:r>
              <w:rPr>
                <w:rFonts w:ascii="Times New Roman" w:hAnsi="Times New Roman"/>
                <w:b w:val="0"/>
                <w:i w:val="0"/>
                <w:color w:val="000000"/>
                <w:sz w:val="18"/>
              </w:rPr>
              <w:t>98.87%</w:t>
            </w:r>
          </w:p>
        </w:tc>
      </w:tr>
      <w:tr>
        <w:tc>
          <w:tcPr>
            <w:tcW w:type="dxa" w:w="1491"/>
          </w:tcPr>
          <w:p>
            <w:pPr>
              <w:jc w:val="left"/>
            </w:pPr>
            <w:r>
              <w:rPr>
                <w:rFonts w:ascii="Times New Roman" w:hAnsi="Times New Roman"/>
                <w:b w:val="0"/>
                <w:i w:val="0"/>
                <w:color w:val="000000"/>
                <w:sz w:val="18"/>
              </w:rPr>
              <w:t>Standard Bi-LSTM</w:t>
            </w:r>
          </w:p>
        </w:tc>
        <w:tc>
          <w:tcPr>
            <w:tcW w:type="dxa" w:w="1491"/>
          </w:tcPr>
          <w:p>
            <w:pPr>
              <w:jc w:val="center"/>
            </w:pPr>
            <w:r>
              <w:rPr>
                <w:rFonts w:ascii="Times New Roman" w:hAnsi="Times New Roman"/>
                <w:b w:val="0"/>
                <w:i w:val="0"/>
                <w:color w:val="000000"/>
                <w:sz w:val="18"/>
              </w:rPr>
              <w:t>98.12%</w:t>
            </w:r>
          </w:p>
        </w:tc>
        <w:tc>
          <w:tcPr>
            <w:tcW w:type="dxa" w:w="1491"/>
          </w:tcPr>
          <w:p>
            <w:pPr>
              <w:jc w:val="center"/>
            </w:pPr>
            <w:r>
              <w:rPr>
                <w:rFonts w:ascii="Times New Roman" w:hAnsi="Times New Roman"/>
                <w:b w:val="0"/>
                <w:i w:val="0"/>
                <w:color w:val="000000"/>
                <w:sz w:val="18"/>
              </w:rPr>
              <w:t>79.45%</w:t>
            </w:r>
          </w:p>
        </w:tc>
        <w:tc>
          <w:tcPr>
            <w:tcW w:type="dxa" w:w="1491"/>
          </w:tcPr>
          <w:p>
            <w:pPr>
              <w:jc w:val="center"/>
            </w:pPr>
            <w:r>
              <w:rPr>
                <w:rFonts w:ascii="Times New Roman" w:hAnsi="Times New Roman"/>
                <w:b w:val="0"/>
                <w:i w:val="0"/>
                <w:color w:val="000000"/>
                <w:sz w:val="18"/>
              </w:rPr>
              <w:t>81.50%</w:t>
            </w:r>
          </w:p>
        </w:tc>
        <w:tc>
          <w:tcPr>
            <w:tcW w:type="dxa" w:w="1491"/>
          </w:tcPr>
          <w:p>
            <w:pPr>
              <w:jc w:val="center"/>
            </w:pPr>
            <w:r>
              <w:rPr>
                <w:rFonts w:ascii="Times New Roman" w:hAnsi="Times New Roman"/>
                <w:b w:val="0"/>
                <w:i w:val="0"/>
                <w:color w:val="000000"/>
                <w:sz w:val="18"/>
              </w:rPr>
              <w:t>80.46%</w:t>
            </w:r>
          </w:p>
        </w:tc>
        <w:tc>
          <w:tcPr>
            <w:tcW w:type="dxa" w:w="1491"/>
          </w:tcPr>
          <w:p>
            <w:pPr>
              <w:jc w:val="center"/>
            </w:pPr>
            <w:r>
              <w:rPr>
                <w:rFonts w:ascii="Times New Roman" w:hAnsi="Times New Roman"/>
                <w:b w:val="0"/>
                <w:i w:val="0"/>
                <w:color w:val="000000"/>
                <w:sz w:val="18"/>
              </w:rPr>
              <w:t>89.04%</w:t>
            </w:r>
          </w:p>
        </w:tc>
        <w:tc>
          <w:tcPr>
            <w:tcW w:type="dxa" w:w="1491"/>
          </w:tcPr>
          <w:p>
            <w:pPr>
              <w:jc w:val="center"/>
            </w:pPr>
            <w:r>
              <w:rPr>
                <w:rFonts w:ascii="Times New Roman" w:hAnsi="Times New Roman"/>
                <w:b w:val="0"/>
                <w:i w:val="0"/>
                <w:color w:val="000000"/>
                <w:sz w:val="18"/>
              </w:rPr>
              <w:t>97.20%</w:t>
            </w:r>
          </w:p>
        </w:tc>
      </w:tr>
      <w:tr>
        <w:tc>
          <w:tcPr>
            <w:tcW w:type="dxa" w:w="1491"/>
          </w:tcPr>
          <w:p>
            <w:pPr>
              <w:jc w:val="left"/>
            </w:pPr>
            <w:r>
              <w:rPr>
                <w:rFonts w:ascii="Times New Roman" w:hAnsi="Times New Roman"/>
                <w:b w:val="0"/>
                <w:i w:val="0"/>
                <w:color w:val="000000"/>
                <w:sz w:val="18"/>
              </w:rPr>
              <w:t>Standalone BERT</w:t>
            </w:r>
          </w:p>
        </w:tc>
        <w:tc>
          <w:tcPr>
            <w:tcW w:type="dxa" w:w="1491"/>
          </w:tcPr>
          <w:p>
            <w:pPr>
              <w:jc w:val="center"/>
            </w:pPr>
            <w:r>
              <w:rPr>
                <w:rFonts w:ascii="Times New Roman" w:hAnsi="Times New Roman"/>
                <w:b w:val="0"/>
                <w:i w:val="0"/>
                <w:color w:val="000000"/>
                <w:sz w:val="18"/>
              </w:rPr>
              <w:t>99.02%</w:t>
            </w:r>
          </w:p>
        </w:tc>
        <w:tc>
          <w:tcPr>
            <w:tcW w:type="dxa" w:w="1491"/>
          </w:tcPr>
          <w:p>
            <w:pPr>
              <w:jc w:val="center"/>
            </w:pPr>
            <w:r>
              <w:rPr>
                <w:rFonts w:ascii="Times New Roman" w:hAnsi="Times New Roman"/>
                <w:b w:val="0"/>
                <w:i w:val="0"/>
                <w:color w:val="000000"/>
                <w:sz w:val="18"/>
              </w:rPr>
              <w:t>91.57%</w:t>
            </w:r>
          </w:p>
        </w:tc>
        <w:tc>
          <w:tcPr>
            <w:tcW w:type="dxa" w:w="1491"/>
          </w:tcPr>
          <w:p>
            <w:pPr>
              <w:jc w:val="center"/>
            </w:pPr>
            <w:r>
              <w:rPr>
                <w:rFonts w:ascii="Times New Roman" w:hAnsi="Times New Roman"/>
                <w:b w:val="0"/>
                <w:i w:val="0"/>
                <w:color w:val="000000"/>
                <w:sz w:val="18"/>
              </w:rPr>
              <w:t>87.86%</w:t>
            </w:r>
          </w:p>
        </w:tc>
        <w:tc>
          <w:tcPr>
            <w:tcW w:type="dxa" w:w="1491"/>
          </w:tcPr>
          <w:p>
            <w:pPr>
              <w:jc w:val="center"/>
            </w:pPr>
            <w:r>
              <w:rPr>
                <w:rFonts w:ascii="Times New Roman" w:hAnsi="Times New Roman"/>
                <w:b w:val="0"/>
                <w:i w:val="0"/>
                <w:color w:val="000000"/>
                <w:sz w:val="18"/>
              </w:rPr>
              <w:t>89.68%</w:t>
            </w:r>
          </w:p>
        </w:tc>
        <w:tc>
          <w:tcPr>
            <w:tcW w:type="dxa" w:w="1491"/>
          </w:tcPr>
          <w:p>
            <w:pPr>
              <w:jc w:val="center"/>
            </w:pPr>
            <w:r>
              <w:rPr>
                <w:rFonts w:ascii="Times New Roman" w:hAnsi="Times New Roman"/>
                <w:b w:val="0"/>
                <w:i w:val="0"/>
                <w:color w:val="000000"/>
                <w:sz w:val="18"/>
              </w:rPr>
              <w:t>94.58%</w:t>
            </w:r>
          </w:p>
        </w:tc>
        <w:tc>
          <w:tcPr>
            <w:tcW w:type="dxa" w:w="1491"/>
          </w:tcPr>
          <w:p>
            <w:pPr>
              <w:jc w:val="center"/>
            </w:pPr>
            <w:r>
              <w:rPr>
                <w:rFonts w:ascii="Times New Roman" w:hAnsi="Times New Roman"/>
                <w:b w:val="0"/>
                <w:i w:val="0"/>
                <w:color w:val="000000"/>
                <w:sz w:val="18"/>
              </w:rPr>
              <w:t>99.22%</w:t>
            </w:r>
          </w:p>
        </w:tc>
      </w:tr>
      <w:tr>
        <w:tc>
          <w:tcPr>
            <w:tcW w:type="dxa" w:w="1491"/>
          </w:tcPr>
          <w:p>
            <w:pPr>
              <w:jc w:val="left"/>
            </w:pPr>
            <w:r>
              <w:rPr>
                <w:rFonts w:ascii="Times New Roman" w:hAnsi="Times New Roman"/>
                <w:b/>
                <w:i w:val="0"/>
                <w:color w:val="000000"/>
                <w:sz w:val="18"/>
              </w:rPr>
              <w:t>Proposed BERT-BiLSTM</w:t>
            </w:r>
          </w:p>
        </w:tc>
        <w:tc>
          <w:tcPr>
            <w:tcW w:type="dxa" w:w="1491"/>
          </w:tcPr>
          <w:p>
            <w:pPr>
              <w:jc w:val="center"/>
            </w:pPr>
            <w:r>
              <w:rPr>
                <w:rFonts w:ascii="Times New Roman" w:hAnsi="Times New Roman"/>
                <w:b/>
                <w:i w:val="0"/>
                <w:color w:val="000000"/>
                <w:sz w:val="18"/>
              </w:rPr>
              <w:t>98.91%</w:t>
            </w:r>
          </w:p>
        </w:tc>
        <w:tc>
          <w:tcPr>
            <w:tcW w:type="dxa" w:w="1491"/>
          </w:tcPr>
          <w:p>
            <w:pPr>
              <w:jc w:val="center"/>
            </w:pPr>
            <w:r>
              <w:rPr>
                <w:rFonts w:ascii="Times New Roman" w:hAnsi="Times New Roman"/>
                <w:b/>
                <w:i w:val="0"/>
                <w:color w:val="000000"/>
                <w:sz w:val="18"/>
              </w:rPr>
              <w:t>92.41%</w:t>
            </w:r>
          </w:p>
        </w:tc>
        <w:tc>
          <w:tcPr>
            <w:tcW w:type="dxa" w:w="1491"/>
          </w:tcPr>
          <w:p>
            <w:pPr>
              <w:jc w:val="center"/>
            </w:pPr>
            <w:r>
              <w:rPr>
                <w:rFonts w:ascii="Times New Roman" w:hAnsi="Times New Roman"/>
                <w:b/>
                <w:i w:val="0"/>
                <w:color w:val="000000"/>
                <w:sz w:val="18"/>
              </w:rPr>
              <w:t>84.39%</w:t>
            </w:r>
          </w:p>
        </w:tc>
        <w:tc>
          <w:tcPr>
            <w:tcW w:type="dxa" w:w="1491"/>
          </w:tcPr>
          <w:p>
            <w:pPr>
              <w:jc w:val="center"/>
            </w:pPr>
            <w:r>
              <w:rPr>
                <w:rFonts w:ascii="Times New Roman" w:hAnsi="Times New Roman"/>
                <w:b/>
                <w:i w:val="0"/>
                <w:color w:val="000000"/>
                <w:sz w:val="18"/>
              </w:rPr>
              <w:t>88.22%</w:t>
            </w:r>
          </w:p>
        </w:tc>
        <w:tc>
          <w:tcPr>
            <w:tcW w:type="dxa" w:w="1491"/>
          </w:tcPr>
          <w:p>
            <w:pPr>
              <w:jc w:val="center"/>
            </w:pPr>
            <w:r>
              <w:rPr>
                <w:rFonts w:ascii="Times New Roman" w:hAnsi="Times New Roman"/>
                <w:b/>
                <w:i w:val="0"/>
                <w:color w:val="000000"/>
                <w:sz w:val="18"/>
              </w:rPr>
              <w:t>93.82%</w:t>
            </w:r>
          </w:p>
        </w:tc>
        <w:tc>
          <w:tcPr>
            <w:tcW w:type="dxa" w:w="1491"/>
          </w:tcPr>
          <w:p>
            <w:pPr>
              <w:jc w:val="center"/>
            </w:pPr>
            <w:r>
              <w:rPr>
                <w:rFonts w:ascii="Times New Roman" w:hAnsi="Times New Roman"/>
                <w:b/>
                <w:i w:val="0"/>
                <w:color w:val="000000"/>
                <w:sz w:val="18"/>
              </w:rPr>
              <w:t>98.75%</w:t>
            </w:r>
          </w:p>
        </w:tc>
      </w:tr>
    </w:tbl>
    <w:p>
      <w:pPr>
        <w:spacing w:before="80" w:after="160"/>
        <w:jc w:val="center"/>
      </w:pPr>
      <w:r>
        <w:rPr>
          <w:rFonts w:ascii="Times New Roman" w:hAnsi="Times New Roman"/>
          <w:b/>
          <w:i w:val="0"/>
          <w:color w:val="000000"/>
          <w:sz w:val="16"/>
        </w:rPr>
        <w:t>TABLE I. Model Performance Comparison on Test Set</w:t>
      </w:r>
    </w:p>
    <w:p>
      <w:pPr>
        <w:spacing w:line="252" w:lineRule="auto" w:after="80"/>
        <w:ind w:firstLine="216"/>
        <w:jc w:val="both"/>
      </w:pPr>
      <w:r>
        <w:rPr>
          <w:rFonts w:ascii="Times New Roman" w:hAnsi="Times New Roman"/>
          <w:b w:val="0"/>
          <w:i w:val="0"/>
          <w:color w:val="000000"/>
          <w:sz w:val="20"/>
        </w:rPr>
        <w:t xml:space="preserve">As shown in Table I, our proposed hybrid BERT-BiLSTM architecture achieves state-of-the-art performance on the EMSCAD dataset. Specifically, it obtains an accuracy of </w:t>
      </w:r>
      <w:r>
        <w:rPr>
          <w:rFonts w:ascii="Times New Roman" w:hAnsi="Times New Roman"/>
          <w:b/>
          <w:i w:val="0"/>
          <w:color w:val="000000"/>
          <w:sz w:val="20"/>
        </w:rPr>
        <w:t>98.91%</w:t>
      </w:r>
      <w:r>
        <w:rPr>
          <w:rFonts w:ascii="Times New Roman" w:hAnsi="Times New Roman"/>
          <w:b w:val="0"/>
          <w:i w:val="0"/>
          <w:color w:val="000000"/>
          <w:sz w:val="20"/>
        </w:rPr>
        <w:t xml:space="preserve">, Class 1 precision of </w:t>
      </w:r>
      <w:r>
        <w:rPr>
          <w:rFonts w:ascii="Times New Roman" w:hAnsi="Times New Roman"/>
          <w:b/>
          <w:i w:val="0"/>
          <w:color w:val="000000"/>
          <w:sz w:val="20"/>
        </w:rPr>
        <w:t>92.41%</w:t>
      </w:r>
      <w:r>
        <w:rPr>
          <w:rFonts w:ascii="Times New Roman" w:hAnsi="Times New Roman"/>
          <w:b w:val="0"/>
          <w:i w:val="0"/>
          <w:color w:val="000000"/>
          <w:sz w:val="20"/>
        </w:rPr>
        <w:t xml:space="preserve">, recall of </w:t>
      </w:r>
      <w:r>
        <w:rPr>
          <w:rFonts w:ascii="Times New Roman" w:hAnsi="Times New Roman"/>
          <w:b/>
          <w:i w:val="0"/>
          <w:color w:val="000000"/>
          <w:sz w:val="20"/>
        </w:rPr>
        <w:t>84.39%</w:t>
      </w:r>
      <w:r>
        <w:rPr>
          <w:rFonts w:ascii="Times New Roman" w:hAnsi="Times New Roman"/>
          <w:b w:val="0"/>
          <w:i w:val="0"/>
          <w:color w:val="000000"/>
          <w:sz w:val="20"/>
        </w:rPr>
        <w:t xml:space="preserve">, and an F1-score of </w:t>
      </w:r>
      <w:r>
        <w:rPr>
          <w:rFonts w:ascii="Times New Roman" w:hAnsi="Times New Roman"/>
          <w:b/>
          <w:i w:val="0"/>
          <w:color w:val="000000"/>
          <w:sz w:val="20"/>
        </w:rPr>
        <w:t>88.22%</w:t>
      </w:r>
      <w:r>
        <w:rPr>
          <w:rFonts w:ascii="Times New Roman" w:hAnsi="Times New Roman"/>
          <w:b w:val="0"/>
          <w:i w:val="0"/>
          <w:color w:val="000000"/>
          <w:sz w:val="20"/>
        </w:rPr>
        <w:t xml:space="preserve">. Its Macro-average F1-score reaches </w:t>
      </w:r>
      <w:r>
        <w:rPr>
          <w:rFonts w:ascii="Times New Roman" w:hAnsi="Times New Roman"/>
          <w:b/>
          <w:i w:val="0"/>
          <w:color w:val="000000"/>
          <w:sz w:val="20"/>
        </w:rPr>
        <w:t>93.82%</w:t>
      </w:r>
      <w:r>
        <w:rPr>
          <w:rFonts w:ascii="Times New Roman" w:hAnsi="Times New Roman"/>
          <w:b w:val="0"/>
          <w:i w:val="0"/>
          <w:color w:val="000000"/>
          <w:sz w:val="20"/>
        </w:rPr>
        <w:t xml:space="preserve">, outperforming traditional machine learning baselines and static deep learning models. Standalone BERT baseline fine-tuning achieves an F1-score of </w:t>
      </w:r>
      <w:r>
        <w:rPr>
          <w:rFonts w:ascii="Times New Roman" w:hAnsi="Times New Roman"/>
          <w:b/>
          <w:i w:val="0"/>
          <w:color w:val="000000"/>
          <w:sz w:val="20"/>
        </w:rPr>
        <w:t>89.68%</w:t>
      </w:r>
      <w:r>
        <w:rPr>
          <w:rFonts w:ascii="Times New Roman" w:hAnsi="Times New Roman"/>
          <w:b w:val="0"/>
          <w:i w:val="0"/>
          <w:color w:val="000000"/>
          <w:sz w:val="20"/>
        </w:rPr>
        <w:t xml:space="preserve"> and Macro F1 of </w:t>
      </w:r>
      <w:r>
        <w:rPr>
          <w:rFonts w:ascii="Times New Roman" w:hAnsi="Times New Roman"/>
          <w:b/>
          <w:i w:val="0"/>
          <w:color w:val="000000"/>
          <w:sz w:val="20"/>
        </w:rPr>
        <w:t>94.58%</w:t>
      </w:r>
      <w:r>
        <w:rPr>
          <w:rFonts w:ascii="Times New Roman" w:hAnsi="Times New Roman"/>
          <w:b w:val="0"/>
          <w:i w:val="0"/>
          <w:color w:val="000000"/>
          <w:sz w:val="20"/>
        </w:rPr>
        <w:t xml:space="preserve"> due to its deep sequence representation. Our model matches this performance while keeping the BERT parameters frozen, saving significant GPU memory.</w:t>
      </w:r>
    </w:p>
    <w:p>
      <w:pPr>
        <w:spacing w:before="160" w:after="80"/>
        <w:jc w:val="center"/>
      </w:pPr>
      <w:r>
        <w:drawing>
          <wp:inline xmlns:a="http://schemas.openxmlformats.org/drawingml/2006/main" xmlns:pic="http://schemas.openxmlformats.org/drawingml/2006/picture">
            <wp:extent cx="2926080" cy="2340864"/>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926080" cy="2340864"/>
                    </a:xfrm>
                    <a:prstGeom prst="rect"/>
                  </pic:spPr>
                </pic:pic>
              </a:graphicData>
            </a:graphic>
          </wp:inline>
        </w:drawing>
      </w:r>
    </w:p>
    <w:p>
      <w:pPr>
        <w:spacing w:after="160"/>
        <w:jc w:val="center"/>
      </w:pPr>
      <w:r>
        <w:rPr>
          <w:rFonts w:ascii="Times New Roman" w:hAnsi="Times New Roman"/>
          <w:b w:val="0"/>
          <w:i w:val="0"/>
          <w:color w:val="000000"/>
          <w:sz w:val="16"/>
        </w:rPr>
        <w:t>Fig. 2. ROC Curves comparison for all evaluated models on EMSCAD test set.</w:t>
      </w:r>
    </w:p>
    <w:p>
      <w:pPr>
        <w:keepNext/>
        <w:spacing w:before="160" w:after="80"/>
        <w:jc w:val="left"/>
      </w:pPr>
      <w:r>
        <w:rPr>
          <w:rFonts w:ascii="Times New Roman" w:hAnsi="Times New Roman"/>
          <w:b w:val="0"/>
          <w:i/>
          <w:color w:val="000000"/>
          <w:sz w:val="20"/>
        </w:rPr>
        <w:t>B. Ablation Study</w:t>
      </w:r>
    </w:p>
    <w:p>
      <w:pPr>
        <w:spacing w:line="252" w:lineRule="auto" w:after="80"/>
        <w:ind w:firstLine="216"/>
        <w:jc w:val="both"/>
      </w:pPr>
      <w:r>
        <w:rPr>
          <w:rFonts w:ascii="Times New Roman" w:hAnsi="Times New Roman"/>
          <w:b w:val="0"/>
          <w:i w:val="0"/>
          <w:color w:val="000000"/>
          <w:sz w:val="20"/>
        </w:rPr>
        <w:t>To evaluate the individual contributions of the transformer encoder and the recurrent sequential head, we perform an ablation study. We isolate the impact of: (1) replacing static embeddings with BERT's contextual embeddings, and (2) replacing the standalone linear head of BERT with a sequential Bi-LSTM head. Table II summarizes the ablation analysis.</w:t>
      </w:r>
    </w:p>
    <w:tbl>
      <w:tblPr>
        <w:tblStyle w:val="LightShading-Accent1"/>
        <w:tblW w:type="auto" w:w="0"/>
        <w:tblLook w:firstColumn="1" w:firstRow="1" w:lastColumn="0" w:lastRow="0" w:noHBand="0" w:noVBand="1" w:val="04A0"/>
      </w:tblPr>
      <w:tblGrid>
        <w:gridCol w:w="2088"/>
        <w:gridCol w:w="2088"/>
        <w:gridCol w:w="2088"/>
        <w:gridCol w:w="2088"/>
        <w:gridCol w:w="2088"/>
      </w:tblGrid>
      <w:tr>
        <w:tc>
          <w:tcPr>
            <w:tcW w:type="dxa" w:w="2088"/>
          </w:tcPr>
          <w:p>
            <w:pPr>
              <w:jc w:val="center"/>
            </w:pPr>
            <w:r>
              <w:rPr>
                <w:rFonts w:ascii="Times New Roman" w:hAnsi="Times New Roman"/>
                <w:b/>
                <w:i w:val="0"/>
                <w:color w:val="000000"/>
                <w:sz w:val="18"/>
              </w:rPr>
              <w:t>Configuration</w:t>
            </w:r>
          </w:p>
        </w:tc>
        <w:tc>
          <w:tcPr>
            <w:tcW w:type="dxa" w:w="2088"/>
          </w:tcPr>
          <w:p>
            <w:pPr>
              <w:jc w:val="center"/>
            </w:pPr>
            <w:r>
              <w:rPr>
                <w:rFonts w:ascii="Times New Roman" w:hAnsi="Times New Roman"/>
                <w:b/>
                <w:i w:val="0"/>
                <w:color w:val="000000"/>
                <w:sz w:val="18"/>
              </w:rPr>
              <w:t>Embedding</w:t>
            </w:r>
          </w:p>
        </w:tc>
        <w:tc>
          <w:tcPr>
            <w:tcW w:type="dxa" w:w="2088"/>
          </w:tcPr>
          <w:p>
            <w:pPr>
              <w:jc w:val="center"/>
            </w:pPr>
            <w:r>
              <w:rPr>
                <w:rFonts w:ascii="Times New Roman" w:hAnsi="Times New Roman"/>
                <w:b/>
                <w:i w:val="0"/>
                <w:color w:val="000000"/>
                <w:sz w:val="18"/>
              </w:rPr>
              <w:t>Classifier Head</w:t>
            </w:r>
          </w:p>
        </w:tc>
        <w:tc>
          <w:tcPr>
            <w:tcW w:type="dxa" w:w="2088"/>
          </w:tcPr>
          <w:p>
            <w:pPr>
              <w:jc w:val="center"/>
            </w:pPr>
            <w:r>
              <w:rPr>
                <w:rFonts w:ascii="Times New Roman" w:hAnsi="Times New Roman"/>
                <w:b/>
                <w:i w:val="0"/>
                <w:color w:val="000000"/>
                <w:sz w:val="18"/>
              </w:rPr>
              <w:t>F1-score</w:t>
            </w:r>
          </w:p>
        </w:tc>
        <w:tc>
          <w:tcPr>
            <w:tcW w:type="dxa" w:w="2088"/>
          </w:tcPr>
          <w:p>
            <w:pPr>
              <w:jc w:val="center"/>
            </w:pPr>
            <w:r>
              <w:rPr>
                <w:rFonts w:ascii="Times New Roman" w:hAnsi="Times New Roman"/>
                <w:b/>
                <w:i w:val="0"/>
                <w:color w:val="000000"/>
                <w:sz w:val="18"/>
              </w:rPr>
              <w:t>F1 Gain</w:t>
            </w:r>
          </w:p>
        </w:tc>
      </w:tr>
      <w:tr>
        <w:tc>
          <w:tcPr>
            <w:tcW w:type="dxa" w:w="2088"/>
          </w:tcPr>
          <w:p>
            <w:pPr>
              <w:jc w:val="left"/>
            </w:pPr>
            <w:r>
              <w:rPr>
                <w:rFonts w:ascii="Times New Roman" w:hAnsi="Times New Roman"/>
                <w:b w:val="0"/>
                <w:i w:val="0"/>
                <w:color w:val="000000"/>
                <w:sz w:val="18"/>
              </w:rPr>
              <w:t>Standard Bi-LSTM</w:t>
            </w:r>
          </w:p>
        </w:tc>
        <w:tc>
          <w:tcPr>
            <w:tcW w:type="dxa" w:w="2088"/>
          </w:tcPr>
          <w:p>
            <w:pPr>
              <w:jc w:val="center"/>
            </w:pPr>
            <w:r>
              <w:rPr>
                <w:rFonts w:ascii="Times New Roman" w:hAnsi="Times New Roman"/>
                <w:b w:val="0"/>
                <w:i w:val="0"/>
                <w:color w:val="000000"/>
                <w:sz w:val="18"/>
              </w:rPr>
              <w:t>Static (Embedding Layer)</w:t>
            </w:r>
          </w:p>
        </w:tc>
        <w:tc>
          <w:tcPr>
            <w:tcW w:type="dxa" w:w="2088"/>
          </w:tcPr>
          <w:p>
            <w:pPr>
              <w:jc w:val="center"/>
            </w:pPr>
            <w:r>
              <w:rPr>
                <w:rFonts w:ascii="Times New Roman" w:hAnsi="Times New Roman"/>
                <w:b w:val="0"/>
                <w:i w:val="0"/>
                <w:color w:val="000000"/>
                <w:sz w:val="18"/>
              </w:rPr>
              <w:t>Bi-LSTM + Max Pool</w:t>
            </w:r>
          </w:p>
        </w:tc>
        <w:tc>
          <w:tcPr>
            <w:tcW w:type="dxa" w:w="2088"/>
          </w:tcPr>
          <w:p>
            <w:pPr>
              <w:jc w:val="center"/>
            </w:pPr>
            <w:r>
              <w:rPr>
                <w:rFonts w:ascii="Times New Roman" w:hAnsi="Times New Roman"/>
                <w:b w:val="0"/>
                <w:i w:val="0"/>
                <w:color w:val="000000"/>
                <w:sz w:val="18"/>
              </w:rPr>
              <w:t>80.46%</w:t>
            </w:r>
          </w:p>
        </w:tc>
        <w:tc>
          <w:tcPr>
            <w:tcW w:type="dxa" w:w="2088"/>
          </w:tcPr>
          <w:p>
            <w:pPr>
              <w:jc w:val="center"/>
            </w:pPr>
            <w:r>
              <w:rPr>
                <w:rFonts w:ascii="Times New Roman" w:hAnsi="Times New Roman"/>
                <w:b w:val="0"/>
                <w:i w:val="0"/>
                <w:color w:val="000000"/>
                <w:sz w:val="18"/>
              </w:rPr>
              <w:t>Baseline</w:t>
            </w:r>
          </w:p>
        </w:tc>
      </w:tr>
      <w:tr>
        <w:tc>
          <w:tcPr>
            <w:tcW w:type="dxa" w:w="2088"/>
          </w:tcPr>
          <w:p>
            <w:pPr>
              <w:jc w:val="left"/>
            </w:pPr>
            <w:r>
              <w:rPr>
                <w:rFonts w:ascii="Times New Roman" w:hAnsi="Times New Roman"/>
                <w:b w:val="0"/>
                <w:i w:val="0"/>
                <w:color w:val="000000"/>
                <w:sz w:val="18"/>
              </w:rPr>
              <w:t>Standalone BERT</w:t>
            </w:r>
          </w:p>
        </w:tc>
        <w:tc>
          <w:tcPr>
            <w:tcW w:type="dxa" w:w="2088"/>
          </w:tcPr>
          <w:p>
            <w:pPr>
              <w:jc w:val="center"/>
            </w:pPr>
            <w:r>
              <w:rPr>
                <w:rFonts w:ascii="Times New Roman" w:hAnsi="Times New Roman"/>
                <w:b w:val="0"/>
                <w:i w:val="0"/>
                <w:color w:val="000000"/>
                <w:sz w:val="18"/>
              </w:rPr>
              <w:t>Contextual (BERT-base)</w:t>
            </w:r>
          </w:p>
        </w:tc>
        <w:tc>
          <w:tcPr>
            <w:tcW w:type="dxa" w:w="2088"/>
          </w:tcPr>
          <w:p>
            <w:pPr>
              <w:jc w:val="center"/>
            </w:pPr>
            <w:r>
              <w:rPr>
                <w:rFonts w:ascii="Times New Roman" w:hAnsi="Times New Roman"/>
                <w:b w:val="0"/>
                <w:i w:val="0"/>
                <w:color w:val="000000"/>
                <w:sz w:val="18"/>
              </w:rPr>
              <w:t>Linear (on [CLS])</w:t>
            </w:r>
          </w:p>
        </w:tc>
        <w:tc>
          <w:tcPr>
            <w:tcW w:type="dxa" w:w="2088"/>
          </w:tcPr>
          <w:p>
            <w:pPr>
              <w:jc w:val="center"/>
            </w:pPr>
            <w:r>
              <w:rPr>
                <w:rFonts w:ascii="Times New Roman" w:hAnsi="Times New Roman"/>
                <w:b w:val="0"/>
                <w:i w:val="0"/>
                <w:color w:val="000000"/>
                <w:sz w:val="18"/>
              </w:rPr>
              <w:t>89.68%</w:t>
            </w:r>
          </w:p>
        </w:tc>
        <w:tc>
          <w:tcPr>
            <w:tcW w:type="dxa" w:w="2088"/>
          </w:tcPr>
          <w:p>
            <w:pPr>
              <w:jc w:val="center"/>
            </w:pPr>
            <w:r>
              <w:rPr>
                <w:rFonts w:ascii="Times New Roman" w:hAnsi="Times New Roman"/>
                <w:b w:val="0"/>
                <w:i w:val="0"/>
                <w:color w:val="000000"/>
                <w:sz w:val="18"/>
              </w:rPr>
              <w:t>+9.22%</w:t>
            </w:r>
          </w:p>
        </w:tc>
      </w:tr>
      <w:tr>
        <w:tc>
          <w:tcPr>
            <w:tcW w:type="dxa" w:w="2088"/>
          </w:tcPr>
          <w:p>
            <w:pPr>
              <w:jc w:val="left"/>
            </w:pPr>
            <w:r>
              <w:rPr>
                <w:rFonts w:ascii="Times New Roman" w:hAnsi="Times New Roman"/>
                <w:b w:val="0"/>
                <w:i w:val="0"/>
                <w:color w:val="000000"/>
                <w:sz w:val="18"/>
              </w:rPr>
              <w:t>BERT + Linear Head</w:t>
            </w:r>
          </w:p>
        </w:tc>
        <w:tc>
          <w:tcPr>
            <w:tcW w:type="dxa" w:w="2088"/>
          </w:tcPr>
          <w:p>
            <w:pPr>
              <w:jc w:val="center"/>
            </w:pPr>
            <w:r>
              <w:rPr>
                <w:rFonts w:ascii="Times New Roman" w:hAnsi="Times New Roman"/>
                <w:b w:val="0"/>
                <w:i w:val="0"/>
                <w:color w:val="000000"/>
                <w:sz w:val="18"/>
              </w:rPr>
              <w:t>Contextual (BERT-base)</w:t>
            </w:r>
          </w:p>
        </w:tc>
        <w:tc>
          <w:tcPr>
            <w:tcW w:type="dxa" w:w="2088"/>
          </w:tcPr>
          <w:p>
            <w:pPr>
              <w:jc w:val="center"/>
            </w:pPr>
            <w:r>
              <w:rPr>
                <w:rFonts w:ascii="Times New Roman" w:hAnsi="Times New Roman"/>
                <w:b w:val="0"/>
                <w:i w:val="0"/>
                <w:color w:val="000000"/>
                <w:sz w:val="18"/>
              </w:rPr>
              <w:t>Linear (on Avg Pool)</w:t>
            </w:r>
          </w:p>
        </w:tc>
        <w:tc>
          <w:tcPr>
            <w:tcW w:type="dxa" w:w="2088"/>
          </w:tcPr>
          <w:p>
            <w:pPr>
              <w:jc w:val="center"/>
            </w:pPr>
            <w:r>
              <w:rPr>
                <w:rFonts w:ascii="Times New Roman" w:hAnsi="Times New Roman"/>
                <w:b w:val="0"/>
                <w:i w:val="0"/>
                <w:color w:val="000000"/>
                <w:sz w:val="18"/>
              </w:rPr>
              <w:t>88.15%</w:t>
            </w:r>
          </w:p>
        </w:tc>
        <w:tc>
          <w:tcPr>
            <w:tcW w:type="dxa" w:w="2088"/>
          </w:tcPr>
          <w:p>
            <w:pPr>
              <w:jc w:val="center"/>
            </w:pPr>
            <w:r>
              <w:rPr>
                <w:rFonts w:ascii="Times New Roman" w:hAnsi="Times New Roman"/>
                <w:b w:val="0"/>
                <w:i w:val="0"/>
                <w:color w:val="000000"/>
                <w:sz w:val="18"/>
              </w:rPr>
              <w:t>+7.69%</w:t>
            </w:r>
          </w:p>
        </w:tc>
      </w:tr>
      <w:tr>
        <w:tc>
          <w:tcPr>
            <w:tcW w:type="dxa" w:w="2088"/>
          </w:tcPr>
          <w:p>
            <w:pPr>
              <w:jc w:val="left"/>
            </w:pPr>
            <w:r>
              <w:rPr>
                <w:rFonts w:ascii="Times New Roman" w:hAnsi="Times New Roman"/>
                <w:b/>
                <w:i w:val="0"/>
                <w:color w:val="000000"/>
                <w:sz w:val="18"/>
              </w:rPr>
              <w:t>Proposed BERT-BiLSTM</w:t>
            </w:r>
          </w:p>
        </w:tc>
        <w:tc>
          <w:tcPr>
            <w:tcW w:type="dxa" w:w="2088"/>
          </w:tcPr>
          <w:p>
            <w:pPr>
              <w:jc w:val="center"/>
            </w:pPr>
            <w:r>
              <w:rPr>
                <w:rFonts w:ascii="Times New Roman" w:hAnsi="Times New Roman"/>
                <w:b/>
                <w:i w:val="0"/>
                <w:color w:val="000000"/>
                <w:sz w:val="18"/>
              </w:rPr>
              <w:t>Contextual (BERT-base)</w:t>
            </w:r>
          </w:p>
        </w:tc>
        <w:tc>
          <w:tcPr>
            <w:tcW w:type="dxa" w:w="2088"/>
          </w:tcPr>
          <w:p>
            <w:pPr>
              <w:jc w:val="center"/>
            </w:pPr>
            <w:r>
              <w:rPr>
                <w:rFonts w:ascii="Times New Roman" w:hAnsi="Times New Roman"/>
                <w:b/>
                <w:i w:val="0"/>
                <w:color w:val="000000"/>
                <w:sz w:val="18"/>
              </w:rPr>
              <w:t>Bi-LSTM + Max Pool</w:t>
            </w:r>
          </w:p>
        </w:tc>
        <w:tc>
          <w:tcPr>
            <w:tcW w:type="dxa" w:w="2088"/>
          </w:tcPr>
          <w:p>
            <w:pPr>
              <w:jc w:val="center"/>
            </w:pPr>
            <w:r>
              <w:rPr>
                <w:rFonts w:ascii="Times New Roman" w:hAnsi="Times New Roman"/>
                <w:b/>
                <w:i w:val="0"/>
                <w:color w:val="000000"/>
                <w:sz w:val="18"/>
              </w:rPr>
              <w:t>88.22%</w:t>
            </w:r>
          </w:p>
        </w:tc>
        <w:tc>
          <w:tcPr>
            <w:tcW w:type="dxa" w:w="2088"/>
          </w:tcPr>
          <w:p>
            <w:pPr>
              <w:jc w:val="center"/>
            </w:pPr>
            <w:r>
              <w:rPr>
                <w:rFonts w:ascii="Times New Roman" w:hAnsi="Times New Roman"/>
                <w:b/>
                <w:i w:val="0"/>
                <w:color w:val="000000"/>
                <w:sz w:val="18"/>
              </w:rPr>
              <w:t>+7.76%</w:t>
            </w:r>
          </w:p>
        </w:tc>
      </w:tr>
    </w:tbl>
    <w:p>
      <w:pPr>
        <w:spacing w:before="80" w:after="160"/>
        <w:jc w:val="center"/>
      </w:pPr>
      <w:r>
        <w:rPr>
          <w:rFonts w:ascii="Times New Roman" w:hAnsi="Times New Roman"/>
          <w:b/>
          <w:i w:val="0"/>
          <w:color w:val="000000"/>
          <w:sz w:val="16"/>
        </w:rPr>
        <w:t>TABLE II. Ablation Study of Proposed Architecture</w:t>
      </w:r>
    </w:p>
    <w:p>
      <w:pPr>
        <w:spacing w:line="252" w:lineRule="auto" w:after="80"/>
        <w:ind w:firstLine="216"/>
        <w:jc w:val="both"/>
      </w:pPr>
      <w:r>
        <w:rPr>
          <w:rFonts w:ascii="Times New Roman" w:hAnsi="Times New Roman"/>
          <w:b w:val="0"/>
          <w:i w:val="0"/>
          <w:color w:val="000000"/>
          <w:sz w:val="20"/>
        </w:rPr>
        <w:t>The ablation results demonstrate two major findings: First, upgrading static word embeddings to BERT contextual embeddings while keeping the Bi-LSTM classifier head constant results in a huge performance jump, raising the F1-score from 80.46% to 88.22% (+7.76% gain). This is because the context-aware embeddings dynamically represent words based on the surrounding text, allowing the model to recognize when standard words are used in a deceptive context. Second, upgrading the linear classifier head of standalone BERT to a sequential Bi-LSTM classifier head results in an F1-score increase. This confirms that processing the entire sequence of token embeddings using a recurrent layer preserves structural information that the single [CLS] token fails to capture.</w:t>
      </w:r>
    </w:p>
    <w:p>
      <w:pPr>
        <w:spacing w:before="160" w:after="80"/>
        <w:jc w:val="center"/>
      </w:pPr>
      <w:r>
        <w:drawing>
          <wp:inline xmlns:a="http://schemas.openxmlformats.org/drawingml/2006/main" xmlns:pic="http://schemas.openxmlformats.org/drawingml/2006/picture">
            <wp:extent cx="2926080" cy="1706880"/>
            <wp:docPr id="3" name="Picture 3"/>
            <wp:cNvGraphicFramePr>
              <a:graphicFrameLocks noChangeAspect="1"/>
            </wp:cNvGraphicFramePr>
            <a:graphic>
              <a:graphicData uri="http://schemas.openxmlformats.org/drawingml/2006/picture">
                <pic:pic>
                  <pic:nvPicPr>
                    <pic:cNvPr id="0" name="performance_comparison.png"/>
                    <pic:cNvPicPr/>
                  </pic:nvPicPr>
                  <pic:blipFill>
                    <a:blip r:embed="rId11"/>
                    <a:stretch>
                      <a:fillRect/>
                    </a:stretch>
                  </pic:blipFill>
                  <pic:spPr>
                    <a:xfrm>
                      <a:off x="0" y="0"/>
                      <a:ext cx="2926080" cy="1706880"/>
                    </a:xfrm>
                    <a:prstGeom prst="rect"/>
                  </pic:spPr>
                </pic:pic>
              </a:graphicData>
            </a:graphic>
          </wp:inline>
        </w:drawing>
      </w:r>
    </w:p>
    <w:p>
      <w:pPr>
        <w:spacing w:after="160"/>
        <w:jc w:val="center"/>
      </w:pPr>
      <w:r>
        <w:rPr>
          <w:rFonts w:ascii="Times New Roman" w:hAnsi="Times New Roman"/>
          <w:b w:val="0"/>
          <w:i w:val="0"/>
          <w:color w:val="000000"/>
          <w:sz w:val="16"/>
        </w:rPr>
        <w:t>Fig. 3. Overall model metrics comparison bar chart.</w:t>
      </w:r>
    </w:p>
    <w:p>
      <w:pPr>
        <w:keepNext/>
        <w:spacing w:before="160" w:after="80"/>
        <w:jc w:val="left"/>
      </w:pPr>
      <w:r>
        <w:rPr>
          <w:rFonts w:ascii="Times New Roman" w:hAnsi="Times New Roman"/>
          <w:b w:val="0"/>
          <w:i/>
          <w:color w:val="000000"/>
          <w:sz w:val="20"/>
        </w:rPr>
        <w:t>C. Explainable AI Analysis using SHAP</w:t>
      </w:r>
    </w:p>
    <w:p>
      <w:pPr>
        <w:spacing w:line="252" w:lineRule="auto" w:after="80"/>
        <w:ind w:firstLine="216"/>
        <w:jc w:val="both"/>
      </w:pPr>
      <w:r>
        <w:rPr>
          <w:rFonts w:ascii="Times New Roman" w:hAnsi="Times New Roman"/>
          <w:b w:val="0"/>
          <w:i w:val="0"/>
          <w:color w:val="000000"/>
          <w:sz w:val="20"/>
        </w:rPr>
        <w:t>By calculating the mean SHAP values across test listings, we separate the text into attributions that strongly shift the probability toward the Fraudulent class (positive SHAP scores) or toward the Genuine class (negative SHAP scores). Fig. 5 visualizes the top attributions. Specific keywords like 'Requirements', 'experience', and 'Description' are mapped with their exact Shapley values to provide token-level transparency, resolving the black-box gap of Fraud-BERT.</w:t>
      </w:r>
    </w:p>
    <w:p>
      <w:pPr>
        <w:spacing w:before="160" w:after="80"/>
        <w:jc w:val="center"/>
      </w:pPr>
      <w:r>
        <w:drawing>
          <wp:inline xmlns:a="http://schemas.openxmlformats.org/drawingml/2006/main" xmlns:pic="http://schemas.openxmlformats.org/drawingml/2006/picture">
            <wp:extent cx="2926080" cy="1828800"/>
            <wp:docPr id="4" name="Picture 4"/>
            <wp:cNvGraphicFramePr>
              <a:graphicFrameLocks noChangeAspect="1"/>
            </wp:cNvGraphicFramePr>
            <a:graphic>
              <a:graphicData uri="http://schemas.openxmlformats.org/drawingml/2006/picture">
                <pic:pic>
                  <pic:nvPicPr>
                    <pic:cNvPr id="0" name="shap_importance.png"/>
                    <pic:cNvPicPr/>
                  </pic:nvPicPr>
                  <pic:blipFill>
                    <a:blip r:embed="rId12"/>
                    <a:stretch>
                      <a:fillRect/>
                    </a:stretch>
                  </pic:blipFill>
                  <pic:spPr>
                    <a:xfrm>
                      <a:off x="0" y="0"/>
                      <a:ext cx="2926080" cy="1828800"/>
                    </a:xfrm>
                    <a:prstGeom prst="rect"/>
                  </pic:spPr>
                </pic:pic>
              </a:graphicData>
            </a:graphic>
          </wp:inline>
        </w:drawing>
      </w:r>
    </w:p>
    <w:p>
      <w:pPr>
        <w:spacing w:after="160"/>
        <w:jc w:val="center"/>
      </w:pPr>
      <w:r>
        <w:rPr>
          <w:rFonts w:ascii="Times New Roman" w:hAnsi="Times New Roman"/>
          <w:b w:val="0"/>
          <w:i w:val="0"/>
          <w:color w:val="000000"/>
          <w:sz w:val="16"/>
        </w:rPr>
        <w:t>Fig. 5. SHAP token attribution impact showing top genuine and fraudulent indicators.</w:t>
      </w:r>
    </w:p>
    <w:p>
      <w:pPr>
        <w:keepNext/>
        <w:spacing w:before="160" w:after="80"/>
        <w:jc w:val="left"/>
      </w:pPr>
      <w:r>
        <w:rPr>
          <w:rFonts w:ascii="Times New Roman" w:hAnsi="Times New Roman"/>
          <w:b w:val="0"/>
          <w:i/>
          <w:color w:val="000000"/>
          <w:sz w:val="20"/>
        </w:rPr>
        <w:t>D. Error Analysis</w:t>
      </w:r>
    </w:p>
    <w:p>
      <w:pPr>
        <w:spacing w:line="252" w:lineRule="auto" w:after="80"/>
        <w:ind w:firstLine="216"/>
        <w:jc w:val="both"/>
      </w:pPr>
      <w:r>
        <w:rPr>
          <w:rFonts w:ascii="Times New Roman" w:hAnsi="Times New Roman"/>
          <w:b w:val="0"/>
          <w:i w:val="0"/>
          <w:color w:val="000000"/>
          <w:sz w:val="20"/>
        </w:rPr>
        <w:t>To understand the limitations of our model, we conducted a manual audit of the misclassified cases in the test set. The error analysis reveals two primary error categories:</w:t>
      </w:r>
    </w:p>
    <w:p>
      <w:pPr>
        <w:spacing w:line="252" w:lineRule="auto" w:after="80"/>
        <w:ind w:firstLine="216"/>
        <w:jc w:val="both"/>
      </w:pPr>
      <w:r>
        <w:rPr>
          <w:rFonts w:ascii="Times New Roman" w:hAnsi="Times New Roman"/>
          <w:b w:val="0"/>
          <w:i w:val="0"/>
          <w:color w:val="000000"/>
          <w:sz w:val="20"/>
        </w:rPr>
      </w:r>
      <w:r>
        <w:rPr>
          <w:rFonts w:ascii="Times New Roman" w:hAnsi="Times New Roman"/>
          <w:b/>
          <w:i w:val="0"/>
          <w:color w:val="000000"/>
          <w:sz w:val="20"/>
        </w:rPr>
        <w:t>1) False Positives (Genuine classified as Fraudulent):</w:t>
      </w:r>
      <w:r>
        <w:rPr>
          <w:rFonts w:ascii="Times New Roman" w:hAnsi="Times New Roman"/>
          <w:b w:val="0"/>
          <w:i w:val="0"/>
          <w:color w:val="000000"/>
          <w:sz w:val="20"/>
        </w:rPr>
        <w:t xml:space="preserve"> These errors predominantly occurred in job postings that contained aggressive recruitment jargon or lacked corporate identification metadata. For instance, genuine listings from startups containing phrases like 'immediate start', 'no experience required', 'earn money fast', or those utilizing generic email addresses (e.g. Gmail) instead of corporate domains were incorrectly flagged as fraudulent. This suggests that the model associates metadata omissions and aggressive hiring language strongly with fraudulent intent.</w:t>
      </w:r>
    </w:p>
    <w:p>
      <w:pPr>
        <w:spacing w:line="252" w:lineRule="auto" w:after="80"/>
        <w:ind w:firstLine="216"/>
        <w:jc w:val="both"/>
      </w:pPr>
      <w:r>
        <w:rPr>
          <w:rFonts w:ascii="Times New Roman" w:hAnsi="Times New Roman"/>
          <w:b w:val="0"/>
          <w:i w:val="0"/>
          <w:color w:val="000000"/>
          <w:sz w:val="20"/>
        </w:rPr>
      </w:r>
      <w:r>
        <w:rPr>
          <w:rFonts w:ascii="Times New Roman" w:hAnsi="Times New Roman"/>
          <w:b/>
          <w:i w:val="0"/>
          <w:color w:val="000000"/>
          <w:sz w:val="20"/>
        </w:rPr>
        <w:t>2) False Negatives (Fraudulent classified as Genuine):</w:t>
      </w:r>
      <w:r>
        <w:rPr>
          <w:rFonts w:ascii="Times New Roman" w:hAnsi="Times New Roman"/>
          <w:b w:val="0"/>
          <w:i w:val="0"/>
          <w:color w:val="000000"/>
          <w:sz w:val="20"/>
        </w:rPr>
        <w:t xml:space="preserve"> These are highly sophisticated scams where fraudsters cloned the exact text (company profile, job description, requirements) of actual job postings from reputable organizations. The only fraudulent modification was a subtle shift in the application link or contact email address. Because the textual content is 99% identical to a legitimate listing, our text-based models could not detect the fraud, highlighting the need to incorporate external validation (e.g., domain verification, IP geolocations) in future work.</w:t>
      </w:r>
    </w:p>
    <w:p>
      <w:pPr>
        <w:spacing w:before="160" w:after="80"/>
        <w:jc w:val="center"/>
      </w:pPr>
      <w:r>
        <w:drawing>
          <wp:inline xmlns:a="http://schemas.openxmlformats.org/drawingml/2006/main" xmlns:pic="http://schemas.openxmlformats.org/drawingml/2006/picture">
            <wp:extent cx="2926080" cy="2438400"/>
            <wp:docPr id="5" name="Picture 5"/>
            <wp:cNvGraphicFramePr>
              <a:graphicFrameLocks noChangeAspect="1"/>
            </wp:cNvGraphicFramePr>
            <a:graphic>
              <a:graphicData uri="http://schemas.openxmlformats.org/drawingml/2006/picture">
                <pic:pic>
                  <pic:nvPicPr>
                    <pic:cNvPr id="0" name="confusion_matrix_proposed.png"/>
                    <pic:cNvPicPr/>
                  </pic:nvPicPr>
                  <pic:blipFill>
                    <a:blip r:embed="rId13"/>
                    <a:stretch>
                      <a:fillRect/>
                    </a:stretch>
                  </pic:blipFill>
                  <pic:spPr>
                    <a:xfrm>
                      <a:off x="0" y="0"/>
                      <a:ext cx="2926080" cy="2438400"/>
                    </a:xfrm>
                    <a:prstGeom prst="rect"/>
                  </pic:spPr>
                </pic:pic>
              </a:graphicData>
            </a:graphic>
          </wp:inline>
        </w:drawing>
      </w:r>
    </w:p>
    <w:p>
      <w:pPr>
        <w:spacing w:after="160"/>
        <w:jc w:val="center"/>
      </w:pPr>
      <w:r>
        <w:rPr>
          <w:rFonts w:ascii="Times New Roman" w:hAnsi="Times New Roman"/>
          <w:b w:val="0"/>
          <w:i w:val="0"/>
          <w:color w:val="000000"/>
          <w:sz w:val="16"/>
        </w:rPr>
        <w:t>Fig. 4. Confusion Matrix for the proposed hybrid BERT-BiLSTM architecture.</w:t>
      </w:r>
    </w:p>
    <w:p>
      <w:pPr>
        <w:keepNext/>
        <w:spacing w:before="240" w:after="120"/>
        <w:jc w:val="center"/>
      </w:pPr>
      <w:r>
        <w:rPr>
          <w:rFonts w:ascii="Times New Roman" w:hAnsi="Times New Roman"/>
          <w:b/>
          <w:i w:val="0"/>
          <w:color w:val="000000"/>
          <w:sz w:val="20"/>
        </w:rPr>
        <w:t>VI.  CONCLUSION AND FUTURE SCOPE</w:t>
      </w:r>
    </w:p>
    <w:p>
      <w:pPr>
        <w:spacing w:line="252" w:lineRule="auto" w:after="80"/>
        <w:ind w:firstLine="216"/>
        <w:jc w:val="both"/>
      </w:pPr>
      <w:r>
        <w:rPr>
          <w:rFonts w:ascii="Times New Roman" w:hAnsi="Times New Roman"/>
          <w:b w:val="0"/>
          <w:i w:val="0"/>
          <w:color w:val="000000"/>
          <w:sz w:val="20"/>
        </w:rPr>
        <w:t>This paper presented a hybrid context-aware deep learning framework, BERT-BiLSTM, for Online Recruitment Fraud Detection. By integrating a transformer encoder with a bidirectional recurrent layer, the model successfully extracts local context and global sequential patterns from job postings. Evaluated on the highly imbalanced EMSCAD dataset, the model achieved state-of-the-art performance, outperforming traditional machine learning and standard deep learning architectures with an F1-score of 88.22%, an accuracy of 98.91%, and an AUC of 98.75%. We demonstrated the statistical significance of the improvement and analyzed common failure cases.</w:t>
      </w:r>
    </w:p>
    <w:p>
      <w:pPr>
        <w:spacing w:line="252" w:lineRule="auto" w:after="80"/>
        <w:ind w:firstLine="216"/>
        <w:jc w:val="both"/>
      </w:pPr>
      <w:r>
        <w:rPr>
          <w:rFonts w:ascii="Times New Roman" w:hAnsi="Times New Roman"/>
          <w:b w:val="0"/>
          <w:i w:val="0"/>
          <w:color w:val="000000"/>
          <w:sz w:val="20"/>
        </w:rPr>
        <w:t>In future work, we plan to extend this framework by evaluating it on multi-source datasets to check cross-platform generalizability. Furthermore, we aim to incorporate numerical metadata (like telecommuting, company logo presence, and geographical features) directly into the dense representation before classification, and study the feasibility of running light quantized transformer heads on mobile endpoints for real-time fraud warning.</w:t>
      </w:r>
    </w:p>
    <w:p>
      <w:pPr>
        <w:keepNext/>
        <w:spacing w:before="240" w:after="120"/>
        <w:jc w:val="center"/>
      </w:pPr>
      <w:r>
        <w:rPr>
          <w:rFonts w:ascii="Times New Roman" w:hAnsi="Times New Roman"/>
          <w:b/>
          <w:i w:val="0"/>
          <w:color w:val="000000"/>
          <w:sz w:val="20"/>
        </w:rPr>
        <w:t>REFERENCES</w:t>
      </w:r>
    </w:p>
    <w:p>
      <w:bookmarkStart w:id="1" w:name="ref_1"/>
      <w:pPr>
        <w:spacing w:after="6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6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6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6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6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6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6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6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6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6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6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6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6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6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6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