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0"/>
        </w:rPr>
        <w:t>Explainable and Context-Aware Fine-Tuning of</w:t>
        <w:br/>
        <w:t>Bidirectional Encoder Representations from Transformers for</w:t>
        <w:br/>
        <w:t>Online Recruitment Fraud Detection</w:t>
      </w:r>
    </w:p>
    <w:p>
      <w:pPr>
        <w:spacing w:after="360"/>
        <w:jc w:val="center"/>
      </w:pPr>
      <w:r>
        <w:rPr>
          <w:rFonts w:ascii="Times New Roman" w:hAnsi="Times New Roman"/>
          <w:b w:val="0"/>
          <w:i w:val="0"/>
          <w:color w:val="000000"/>
          <w:sz w:val="22"/>
        </w:rPr>
        <w:t>Akhilesh Yadav</w:t>
        <w:br/>
        <w:t>Department of Computer Science and Engineering</w:t>
        <w:br/>
        <w:t>M.Sc. (Data Science)</w:t>
        <w:br/>
        <w:t>India</w:t>
        <w:br/>
        <w:t>akhileshyadav8@gmail.com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have simplified global recruitment processes. However, this open medium has concurrently facilitated the propagation of Online Recruitment Fraud (ORF), where scammers upload deceptive job announcements to harvest sensitive candidate details or perform financial scams. Detecting these postings automatically is difficult because they are written to mimic genuine corporate listings. While classical machine learning baselines fail to extract contextual semantics, deep neural networks are frequently criticized as black-box models. In this study, we replicate and optimize the baseline fine-tuning methodology of the transformer-based Fraud-BERT framework using the full bert-base-uncased architecture. To handle the high class imbalance in the EMSCAD dataset, we implement a class-weighted binary cross-entropy loss function. Furthermore, to resolve the black-box nature of deep neural networks, we integrate game-theoretic Explainable AI (XAI) via SHAP values, tracing token attributions to verify the linguistic features driving predictions. Our experimental results on the test set yield a classification accuracy of 99.02%, Class 1 (Fraudulent) precision of 91.57%, recall of 87.86%, and F1-score of 89.68%. Additionally, the fine-tuned model obtains a Macro-average F1-score of 94.58% and a high ROC-AUC of 99.22%. These findings confirm that optimized standalone transformers, when regularized and explained using game-theoretic feature attribution, offer a highly reliable and explainable baseline for automated recruitment security.</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Transformer, BERT, Fine-Tuning, Explainable AI, SHAP.</w:t>
      </w:r>
    </w:p>
    <w:p>
      <w:pPr>
        <w:keepNext/>
        <w:spacing w:before="24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Online recruitment has become the standard mechanism for job seeking and hiring globally, utilizing platforms like LinkedIn, Glassdoor, and Indeed. This shift has significantly lowered administrative overhead, expanded the global applicant pool, and accelerated the recruiting cycle. However, this open digital ecosystem has also emerged as a fertile ground for cybercriminals engaged in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w:t>
      </w:r>
    </w:p>
    <w:p>
      <w:pPr>
        <w:spacing w:line="252" w:lineRule="auto" w:after="80"/>
        <w:ind w:firstLine="216"/>
        <w:jc w:val="both"/>
      </w:pPr>
      <w:r>
        <w:rPr>
          <w:rFonts w:ascii="Times New Roman" w:hAnsi="Times New Roman"/>
          <w:b w:val="0"/>
          <w:i w:val="0"/>
          <w:color w:val="000000"/>
          <w:sz w:val="20"/>
        </w:rPr>
        <w:t xml:space="preserve">Fraudulent job ads are designed to bait vulnerable candidates, often promising high compensation, flexible hours, and low entry requirements. Once candidates apply, fraudsters exploit the situation to perform identity theft (obtaining bank account numbers, social security numbers, and passport photos) or to run financial scams (requesting fees for training materials, visa applications, or screening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During periods of high economic uncertainty and remote work popularity, the volume and sophistication of these scams have grown exponentially.</w:t>
      </w:r>
    </w:p>
    <w:p>
      <w:pPr>
        <w:spacing w:line="252" w:lineRule="auto" w:after="80"/>
        <w:ind w:firstLine="216"/>
        <w:jc w:val="both"/>
      </w:pPr>
      <w:r>
        <w:rPr>
          <w:rFonts w:ascii="Times New Roman" w:hAnsi="Times New Roman"/>
          <w:b w:val="0"/>
          <w:i w:val="0"/>
          <w:color w:val="000000"/>
          <w:sz w:val="20"/>
        </w:rPr>
        <w:t xml:space="preserve">Detecting fraudulent postings is an intricate natural language processing (NLP) problem. Deceptive listings are constructed using highly professional language, often copying corporate profiles from legitimate websites to look genuine </w:t>
      </w:r>
      <w:hyperlink w:anchor="ref_4">
        <w:r>
          <w:rPr>
            <w:rFonts w:ascii="Times New Roman" w:hAnsi="Times New Roman"/>
            <w:sz w:val="20"/>
            <w:u w:val="single"/>
            <w:color w:val="0000FF"/>
          </w:rPr>
          <w:t>[4]</w:t>
        </w:r>
      </w:hyperlink>
      <w:r>
        <w:rPr>
          <w:rFonts w:ascii="Times New Roman" w:hAnsi="Times New Roman"/>
          <w:b w:val="0"/>
          <w:i w:val="0"/>
          <w:color w:val="000000"/>
          <w:sz w:val="20"/>
        </w:rPr>
        <w:t>. Therefore, traditional keyword filtering or rule-based systems fail because they cannot capture semantic anomalies or context.</w:t>
      </w:r>
    </w:p>
    <w:p>
      <w:pPr>
        <w:spacing w:line="252" w:lineRule="auto" w:after="80"/>
        <w:ind w:firstLine="216"/>
        <w:jc w:val="both"/>
      </w:pPr>
      <w:r>
        <w:rPr>
          <w:rFonts w:ascii="Times New Roman" w:hAnsi="Times New Roman"/>
          <w:b w:val="0"/>
          <w:i w:val="0"/>
          <w:color w:val="000000"/>
          <w:sz w:val="20"/>
        </w:rPr>
        <w:t xml:space="preserve">Early automated detection systems deployed machine learning models such as Logistic Regression, Naive Bayes, and Random Forest on features extracted via Bag-of-Words (BoW) or Term Frequency-Inverse Document Frequency (TF-IDF)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Although computationally efficient, these models suffer from high-dimensional sparse representations and completely ignore the ordering and semantic context of words. To resolve this, deep learning models such as Recurrent Neural Networks (RNN) and Bidirectional Long Short-Term Memory (Bi-LSTM) were proposed </w:t>
      </w:r>
      <w:hyperlink w:anchor="ref_2">
        <w:r>
          <w:rPr>
            <w:rFonts w:ascii="Times New Roman" w:hAnsi="Times New Roman"/>
            <w:sz w:val="20"/>
            <w:u w:val="single"/>
            <w:color w:val="0000FF"/>
          </w:rPr>
          <w:t>[2]</w:t>
        </w:r>
      </w:hyperlink>
      <w:r>
        <w:rPr>
          <w:rFonts w:ascii="Times New Roman" w:hAnsi="Times New Roman"/>
          <w:b w:val="0"/>
          <w:i w:val="0"/>
          <w:color w:val="000000"/>
          <w:sz w:val="20"/>
        </w:rPr>
        <w:t>. These models process sequential text using dense representations, but their performance remains limited when relying on static pre-trained embeddings (such as Word2Vec or GloVe) which fail to adjust a word's representation based on its dynamic context.</w:t>
      </w:r>
    </w:p>
    <w:p>
      <w:pPr>
        <w:spacing w:line="252" w:lineRule="auto" w:after="80"/>
        <w:ind w:firstLine="216"/>
        <w:jc w:val="both"/>
      </w:pPr>
      <w:r>
        <w:rPr>
          <w:rFonts w:ascii="Times New Roman" w:hAnsi="Times New Roman"/>
          <w:b w:val="0"/>
          <w:i w:val="0"/>
          <w:color w:val="000000"/>
          <w:sz w:val="20"/>
        </w:rPr>
        <w:t xml:space="preserve">Recently, Transformer-based Large Language Models (LLMs) like BERT (Bidirectional Encoder Representations from Transformers) have redefined the state-of-the-art in NLP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self-attention mechanisms to generate context-aware bidirectional representations of tokens. Standalone BERT architectures classify text by passing the representation of the special classification token ([CLS]) directly into a dense output layer.</w:t>
      </w:r>
    </w:p>
    <w:p>
      <w:pPr>
        <w:spacing w:line="252" w:lineRule="auto" w:after="80"/>
        <w:ind w:firstLine="216"/>
        <w:jc w:val="both"/>
      </w:pPr>
      <w:r>
        <w:rPr>
          <w:rFonts w:ascii="Times New Roman" w:hAnsi="Times New Roman"/>
          <w:b w:val="0"/>
          <w:i w:val="0"/>
          <w:color w:val="000000"/>
          <w:sz w:val="20"/>
        </w:rPr>
        <w:t xml:space="preserve">In this study, we replicate and optimize the fine-tuning of a standalone </w:t>
      </w:r>
      <w:r>
        <w:rPr>
          <w:rFonts w:ascii="Times New Roman" w:hAnsi="Times New Roman"/>
          <w:b/>
          <w:i w:val="0"/>
          <w:color w:val="000000"/>
          <w:sz w:val="20"/>
        </w:rPr>
        <w:t>BERT</w:t>
      </w:r>
      <w:r>
        <w:rPr>
          <w:rFonts w:ascii="Times New Roman" w:hAnsi="Times New Roman"/>
          <w:b w:val="0"/>
          <w:i w:val="0"/>
          <w:color w:val="000000"/>
          <w:sz w:val="20"/>
        </w:rPr>
        <w:t xml:space="preserve"> classifier. This architecture leverages the strengths of BERT: (1) We utilize a pre-trained </w:t>
      </w:r>
      <w:r>
        <w:rPr>
          <w:rFonts w:ascii="Times New Roman" w:hAnsi="Times New Roman"/>
          <w:b/>
          <w:i w:val="0"/>
          <w:color w:val="000000"/>
          <w:sz w:val="20"/>
        </w:rPr>
        <w:t>BERT-base</w:t>
      </w:r>
      <w:r>
        <w:rPr>
          <w:rFonts w:ascii="Times New Roman" w:hAnsi="Times New Roman"/>
          <w:b w:val="0"/>
          <w:i w:val="0"/>
          <w:color w:val="000000"/>
          <w:sz w:val="20"/>
        </w:rPr>
        <w:t xml:space="preserve"> encoder to extract contextually rich representation of sequence, capturing sub-word semantic features. (2) We feed the classification token ([CLS]) representation directly into a dense output layer with dropout regularization. (3) We address class imbalance (where less than 5% of job postings are fraudulent) using a class-weighted loss function rather than data-altering oversampling (like SMOTE), which can distort semantic embeddings.</w:t>
      </w:r>
    </w:p>
    <w:p>
      <w:pPr>
        <w:spacing w:line="252" w:lineRule="auto" w:after="80"/>
        <w:ind w:firstLine="216"/>
        <w:jc w:val="both"/>
      </w:pPr>
      <w:r>
        <w:rPr>
          <w:rFonts w:ascii="Times New Roman" w:hAnsi="Times New Roman"/>
          <w:b w:val="0"/>
          <w:i w:val="0"/>
          <w:color w:val="000000"/>
          <w:sz w:val="20"/>
        </w:rPr>
        <w:t xml:space="preserve">Furthermore, we incorporate </w:t>
      </w:r>
      <w:r>
        <w:rPr>
          <w:rFonts w:ascii="Times New Roman" w:hAnsi="Times New Roman"/>
          <w:b/>
          <w:i w:val="0"/>
          <w:color w:val="000000"/>
          <w:sz w:val="20"/>
        </w:rPr>
        <w:t>Explainable AI (XAI)</w:t>
      </w:r>
      <w:r>
        <w:rPr>
          <w:rFonts w:ascii="Times New Roman" w:hAnsi="Times New Roman"/>
          <w:b w:val="0"/>
          <w:i w:val="0"/>
          <w:color w:val="000000"/>
          <w:sz w:val="20"/>
        </w:rPr>
        <w:t xml:space="preserve"> principles using game-theoretic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values to identify terms that most strongly signal fraudulent intent, addressing the black-box nature of deep neural networks. We also provide a complete </w:t>
      </w:r>
      <w:r>
        <w:rPr>
          <w:rFonts w:ascii="Times New Roman" w:hAnsi="Times New Roman"/>
          <w:b/>
          <w:i w:val="0"/>
          <w:color w:val="000000"/>
          <w:sz w:val="20"/>
        </w:rPr>
        <w:t>Ablation Study</w:t>
      </w:r>
      <w:r>
        <w:rPr>
          <w:rFonts w:ascii="Times New Roman" w:hAnsi="Times New Roman"/>
          <w:b w:val="0"/>
          <w:i w:val="0"/>
          <w:color w:val="000000"/>
          <w:sz w:val="20"/>
        </w:rPr>
        <w:t xml:space="preserve"> and a thorough </w:t>
      </w:r>
      <w:r>
        <w:rPr>
          <w:rFonts w:ascii="Times New Roman" w:hAnsi="Times New Roman"/>
          <w:b/>
          <w:i w:val="0"/>
          <w:color w:val="000000"/>
          <w:sz w:val="20"/>
        </w:rPr>
        <w:t>Error Analysis</w:t>
      </w:r>
      <w:r>
        <w:rPr>
          <w:rFonts w:ascii="Times New Roman" w:hAnsi="Times New Roman"/>
          <w:b w:val="0"/>
          <w:i w:val="0"/>
          <w:color w:val="000000"/>
          <w:sz w:val="20"/>
        </w:rPr>
        <w:t xml:space="preserve"> to demonstrate the scientific validity and statistical significance of our model's performance.</w:t>
      </w:r>
    </w:p>
    <w:p>
      <w:pPr>
        <w:keepNext/>
        <w:spacing w:before="24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took a step further by classifying fraudulent job postings into specific sub-categories (identity theft, MLM, etc.) rather than binary classification,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utilizes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online boards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(VADER/TextBlob) to model the emotional tone of descriptions, achieving highly accurate classifications.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 xml:space="preserve">More recently, hybrid frameworks have been explored. Srilakshmi et al.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and Varshitha et al. </w:t>
      </w:r>
      <w:hyperlink w:anchor="ref_8">
        <w:r>
          <w:rPr>
            <w:rFonts w:ascii="Times New Roman" w:hAnsi="Times New Roman"/>
            <w:sz w:val="20"/>
            <w:u w:val="single"/>
            <w:color w:val="0000FF"/>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(SMOTE/SMOBD) to mitigate dataset imbalance. While CNN2D models excel at capturing local spatial patterns, they are less suited than Bi-LSTMs for modeling the continuous sequential and temporal dependencies of long textual job advertisements. Our research improves upon these existing models by fine-tuning BERT's contextual power directly, offering a unified, highly optimized baseline that trains directly on the class-weighted imbalanced dataset without distorting textual distributions.</w:t>
      </w:r>
    </w:p>
    <w:p>
      <w:pPr>
        <w:keepNext/>
        <w:spacing w:before="24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standalone BERT framework consists of three main stages: (A) Data Preprocessing and Concatenation, (B) BERT Contextual Embedding Extraction, and (C) Classification Head. The details of these components are described below.</w:t>
      </w:r>
    </w:p>
    <w:p>
      <w:pPr>
        <w:keepNext/>
        <w:spacing w:before="160" w:after="80"/>
        <w:jc w:val="left"/>
      </w:pPr>
      <w:r>
        <w:rPr>
          <w:rFonts w:ascii="Times New Roman" w:hAnsi="Times New Roman"/>
          <w:b w:val="0"/>
          <w:i/>
          <w:color w:val="000000"/>
          <w:sz w:val="20"/>
        </w:rPr>
        <w:t>A. Data Preprocessing and Concatenation</w:t>
      </w:r>
    </w:p>
    <w:p>
      <w:pPr>
        <w:spacing w:line="252" w:lineRule="auto" w:after="80"/>
        <w:ind w:firstLine="216"/>
        <w:jc w:val="both"/>
      </w:pPr>
      <w:r>
        <w:rPr>
          <w:rFonts w:ascii="Times New Roman" w:hAnsi="Times New Roman"/>
          <w:b w:val="0"/>
          <w:i w:val="0"/>
          <w:color w:val="000000"/>
          <w:sz w:val="20"/>
        </w:rPr>
        <w:t>Each job posting in the EMSCAD dataset contains both structured metadata and unstructured text. To leverage all textual clues, we clean and concatenate 10 fields: Job Title (T), Company Profile (C), Job Description (D), Requirements (R), Benefits (B), Employment Type (ET), Required Experience (RE), Required Education (RED), Industry (I), and Function (F). The combined text representation X_i for job posting i is defined as:</w:t>
      </w:r>
    </w:p>
    <w:p>
      <w:pPr>
        <w:spacing w:before="120" w:after="120"/>
        <w:jc w:val="center"/>
      </w:pPr>
      <w:r>
        <w:rPr>
          <w:rFonts w:ascii="Times New Roman" w:hAnsi="Times New Roman"/>
          <w:b w:val="0"/>
          <w:i/>
          <w:color w:val="000000"/>
          <w:sz w:val="20"/>
        </w:rPr>
        <w:t>X_i = [T_i] || [C_i] || [D_i] || [R_i] || [B_i] || [ET_i] || [RE_i] || [RED_i] || [I_i] || [F_i]</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where || represents string concatenation. The combined text is cleaned by removing HTML tags and normalizing white spaces, keeping punctuation intact to preserve syntactic clues for the transformer model. A robust NaN filtering function is applied to prevent the word 'nan' from polluting the sequences when concatenating empty fields.</w:t>
      </w:r>
    </w:p>
    <w:p>
      <w:pPr>
        <w:keepNext/>
        <w:spacing w:before="160" w:after="80"/>
        <w:jc w:val="left"/>
      </w:pPr>
      <w:r>
        <w:rPr>
          <w:rFonts w:ascii="Times New Roman" w:hAnsi="Times New Roman"/>
          <w:b w:val="0"/>
          <w:i/>
          <w:color w:val="000000"/>
          <w:sz w:val="20"/>
        </w:rPr>
        <w:t>B. BERT Contextual Embedding Extraction</w:t>
      </w:r>
    </w:p>
    <w:p>
      <w:pPr>
        <w:spacing w:line="252" w:lineRule="auto" w:after="80"/>
        <w:ind w:firstLine="216"/>
        <w:jc w:val="both"/>
      </w:pPr>
      <w:r>
        <w:rPr>
          <w:rFonts w:ascii="Times New Roman" w:hAnsi="Times New Roman"/>
          <w:b w:val="0"/>
          <w:i w:val="0"/>
          <w:color w:val="000000"/>
          <w:sz w:val="20"/>
        </w:rPr>
        <w:t>The preprocessed text sequence is tokenized using the WordPiece tokenizer associated with BERT. For an input sequence of length L, the tokenizer generates input tokens T_1, T_2, ..., T_L, including the classification token [CLS] at the beginning.</w:t>
      </w:r>
    </w:p>
    <w:p>
      <w:pPr>
        <w:spacing w:line="252" w:lineRule="auto" w:after="80"/>
        <w:ind w:firstLine="216"/>
        <w:jc w:val="both"/>
      </w:pPr>
      <w:r>
        <w:rPr>
          <w:rFonts w:ascii="Times New Roman" w:hAnsi="Times New Roman"/>
          <w:b w:val="0"/>
          <w:i w:val="0"/>
          <w:color w:val="000000"/>
          <w:sz w:val="20"/>
        </w:rPr>
        <w:t>These tokens are mapped to input IDs and fed into the BERT model. BERT encodes the tokens to output a sequence of contextual hidden states:</w:t>
      </w:r>
    </w:p>
    <w:p>
      <w:pPr>
        <w:spacing w:before="120" w:after="120"/>
        <w:jc w:val="center"/>
      </w:pPr>
      <w:r>
        <w:rPr>
          <w:rFonts w:ascii="Times New Roman" w:hAnsi="Times New Roman"/>
          <w:b w:val="0"/>
          <w:i/>
          <w:color w:val="000000"/>
          <w:sz w:val="20"/>
        </w:rPr>
        <w:t>H = BERT(I, A) ∈ ℝ^(B × L ×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the batch size, L is the sequence length (L = 512), D is the hidden embedding dimension (D = 768), I represents input IDs, and A represents the attention masks.</w:t>
      </w:r>
    </w:p>
    <w:p>
      <w:pPr>
        <w:spacing w:before="160" w:after="80"/>
        <w:jc w:val="center"/>
      </w:pPr>
      <w:r>
        <w:drawing>
          <wp:inline xmlns:a="http://schemas.openxmlformats.org/drawingml/2006/main" xmlns:pic="http://schemas.openxmlformats.org/drawingml/2006/picture">
            <wp:extent cx="2926080" cy="4159332"/>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926080" cy="4159332"/>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Standalone BERT classifier framework.</w:t>
      </w:r>
    </w:p>
    <w:p>
      <w:pPr>
        <w:keepNext/>
        <w:spacing w:before="160" w:after="80"/>
        <w:jc w:val="left"/>
      </w:pPr>
      <w:r>
        <w:rPr>
          <w:rFonts w:ascii="Times New Roman" w:hAnsi="Times New Roman"/>
          <w:b w:val="0"/>
          <w:i/>
          <w:color w:val="000000"/>
          <w:sz w:val="20"/>
        </w:rPr>
        <w:t>C. Classification Head</w:t>
      </w:r>
    </w:p>
    <w:p>
      <w:pPr>
        <w:spacing w:line="252" w:lineRule="auto" w:after="80"/>
        <w:ind w:firstLine="216"/>
        <w:jc w:val="both"/>
      </w:pPr>
      <w:r>
        <w:rPr>
          <w:rFonts w:ascii="Times New Roman" w:hAnsi="Times New Roman"/>
          <w:b w:val="0"/>
          <w:i w:val="0"/>
          <w:color w:val="000000"/>
          <w:sz w:val="20"/>
        </w:rPr>
        <w:t>The representation of the special classification token [CLS] (represented as H_0 ∈ ℝ^(B × 1 × D)) is extracted from the final hidden layer output. This pooled representation is passed directly into a dense output layer with dropout regularization to output the raw class logits:</w:t>
      </w:r>
    </w:p>
    <w:p>
      <w:pPr>
        <w:spacing w:before="120" w:after="120"/>
        <w:jc w:val="center"/>
      </w:pPr>
      <w:r>
        <w:rPr>
          <w:rFonts w:ascii="Times New Roman" w:hAnsi="Times New Roman"/>
          <w:b w:val="0"/>
          <w:i/>
          <w:color w:val="000000"/>
          <w:sz w:val="20"/>
        </w:rPr>
        <w:t>ŷ = Linear(Dropout(H_0))</w:t>
        <w:tab/>
        <w:tab/>
      </w:r>
      <w:r>
        <w:rPr>
          <w:rFonts w:ascii="Times New Roman" w:hAnsi="Times New Roman"/>
          <w:b w:val="0"/>
          <w:i w:val="0"/>
          <w:color w:val="000000"/>
          <w:sz w:val="20"/>
        </w:rPr>
        <w:t>(3)</w:t>
      </w:r>
    </w:p>
    <w:p>
      <w:pPr>
        <w:spacing w:line="252" w:lineRule="auto" w:after="80"/>
        <w:ind w:firstLine="216"/>
        <w:jc w:val="both"/>
      </w:pPr>
      <w:r>
        <w:rPr>
          <w:rFonts w:ascii="Times New Roman" w:hAnsi="Times New Roman"/>
          <w:b w:val="0"/>
          <w:i w:val="0"/>
          <w:color w:val="000000"/>
          <w:sz w:val="20"/>
        </w:rPr>
        <w:t>The model is optimized using binary cross-entropy with a positive class weight (w_pos) to adjust gradients for the minority class, ensuring robustness under severe data imbalance:</w:t>
      </w:r>
    </w:p>
    <w:p>
      <w:pPr>
        <w:spacing w:before="120" w:after="120"/>
        <w:jc w:val="center"/>
      </w:pPr>
      <w:r>
        <w:rPr>
          <w:rFonts w:ascii="Times New Roman" w:hAnsi="Times New Roman"/>
          <w:b w:val="0"/>
          <w:i/>
          <w:color w:val="000000"/>
          <w:sz w:val="20"/>
        </w:rPr>
        <w:t>L = - [ w_pos × y log(σ(ŷ)) + (1 - y) log(1 - σ(ŷ)) ]</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where σ is the sigmoid activation function and y ∈ {0, 1} represents the ground truth label. By fine-tuning the entire transformer backbone, the query, key, and value parameters are optimized directly for the online recruitment vocabulary.</w:t>
      </w:r>
    </w:p>
    <w:p>
      <w:pPr>
        <w:keepNext/>
        <w:spacing w:before="160" w:after="80"/>
        <w:jc w:val="left"/>
      </w:pPr>
      <w:r>
        <w:rPr>
          <w:rFonts w:ascii="Times New Roman" w:hAnsi="Times New Roman"/>
          <w:b w:val="0"/>
          <w:i/>
          <w:color w:val="000000"/>
          <w:sz w:val="20"/>
        </w:rPr>
        <w:t>D. Explainable AI (XAI) using SHAP Values</w:t>
      </w:r>
    </w:p>
    <w:p>
      <w:pPr>
        <w:spacing w:line="252" w:lineRule="auto" w:after="80"/>
        <w:ind w:firstLine="216"/>
        <w:jc w:val="both"/>
      </w:pPr>
      <w:r>
        <w:rPr>
          <w:rFonts w:ascii="Times New Roman" w:hAnsi="Times New Roman"/>
          <w:b w:val="0"/>
          <w:i w:val="0"/>
          <w:color w:val="000000"/>
          <w:sz w:val="20"/>
        </w:rPr>
        <w:t>To resolve the black-box nature of deep neural networks, we utilize Shapley Additive Explanations (SHAP) instead of raw attention weights. SHAP calculates game-theoretic Shapley values to assign an attribution score to each token in the job posting text. The Shapley value for a token i is defined as:</w:t>
      </w:r>
    </w:p>
    <w:p>
      <w:pPr>
        <w:spacing w:before="120" w:after="120"/>
        <w:jc w:val="center"/>
      </w:pPr>
      <w:r>
        <w:rPr>
          <w:rFonts w:ascii="Times New Roman" w:hAnsi="Times New Roman"/>
          <w:b w:val="0"/>
          <w:i/>
          <w:color w:val="000000"/>
          <w:sz w:val="20"/>
        </w:rPr>
        <w:t>ϕ_i = ∑_(S ⊆ F \ {i}) (|S|! (|F| - |S| - 1)!) / |F|! [ f_x(S ∪ {i}) - f_x(S) ]</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F is the set of all input tokens, S is a subset of tokens excluding token i, and f_x(S) is the model output conditioned on S. By evaluating these attributions, the model identifies which terms strongly drive the predictions toward the fraudulent class (positive SHAP scores) or toward the genuine class (negative SHAP scores).</w:t>
      </w:r>
    </w:p>
    <w:p>
      <w:pPr>
        <w:keepNext/>
        <w:spacing w:before="240" w:after="120"/>
        <w:jc w:val="center"/>
      </w:pPr>
      <w:r>
        <w:rPr>
          <w:rFonts w:ascii="Times New Roman" w:hAnsi="Times New Roman"/>
          <w:b/>
          <w:i w:val="0"/>
          <w:color w:val="000000"/>
          <w:sz w:val="20"/>
        </w:rPr>
        <w:t>IV.  EXPERIMENTAL SETUP</w:t>
      </w:r>
    </w:p>
    <w:p>
      <w:pPr>
        <w:keepNext/>
        <w:spacing w:before="160" w:after="80"/>
        <w:jc w:val="left"/>
      </w:pPr>
      <w:r>
        <w:rPr>
          <w:rFonts w:ascii="Times New Roman" w:hAnsi="Times New Roman"/>
          <w:b w:val="0"/>
          <w:i/>
          <w:color w:val="000000"/>
          <w:sz w:val="20"/>
        </w:rPr>
        <w:t>A. Dataset Description</w:t>
      </w:r>
    </w:p>
    <w:p>
      <w:pPr>
        <w:spacing w:line="252" w:lineRule="auto" w:after="80"/>
        <w:ind w:firstLine="216"/>
        <w:jc w:val="both"/>
      </w:pPr>
      <w:r>
        <w:rPr>
          <w:rFonts w:ascii="Times New Roman" w:hAnsi="Times New Roman"/>
          <w:b w:val="0"/>
          <w:i w:val="0"/>
          <w:color w:val="000000"/>
          <w:sz w:val="20"/>
        </w:rPr>
        <w:t>The model is validated using the Kaggle Real/Fake Job Posting Prediction dataset (EMSCAD). The dataset consists of 17,880 observations. It contains a significant class imbalance, containing 17,014 genuine posts (95.16%) and only 866 fraudulent posts (4.84%). This highly skewed distribution represents a realistic recruitment scenario where fraud is a needle in a haystack.</w:t>
      </w:r>
    </w:p>
    <w:p>
      <w:pPr>
        <w:keepNext/>
        <w:spacing w:before="160" w:after="80"/>
        <w:jc w:val="left"/>
      </w:pPr>
      <w:r>
        <w:rPr>
          <w:rFonts w:ascii="Times New Roman" w:hAnsi="Times New Roman"/>
          <w:b w:val="0"/>
          <w:i/>
          <w:color w:val="000000"/>
          <w:sz w:val="20"/>
        </w:rPr>
        <w:t>B. Evaluation Splits and Settings</w:t>
      </w:r>
    </w:p>
    <w:p>
      <w:pPr>
        <w:spacing w:line="252" w:lineRule="auto" w:after="80"/>
        <w:ind w:firstLine="216"/>
        <w:jc w:val="both"/>
      </w:pPr>
      <w:r>
        <w:rPr>
          <w:rFonts w:ascii="Times New Roman" w:hAnsi="Times New Roman"/>
          <w:b w:val="0"/>
          <w:i w:val="0"/>
          <w:color w:val="000000"/>
          <w:sz w:val="20"/>
        </w:rPr>
        <w:t>The dataset is split into training (70%), validation (10%), and test (20%) sets using stratified sampling to maintain the class distribution across all splits. Training is performed on a Google Colab GPU runtime (T4 GPU). The maximum sequence length is set to 512 tokens. We train the baseline ML models on CPU. For deep learning models, we use a batch size of 16 and train the transformer models for 5 epochs with AdamW optimizer and linear warmup scheduler. Fine-tuning takes approximately 21 minutes per epoch on the T4 GPU.</w:t>
      </w:r>
    </w:p>
    <w:p>
      <w:pPr>
        <w:keepNext/>
        <w:spacing w:before="16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 xml:space="preserve">The proposed hybrid architecture is benchmarked against the following configurations: (1) </w:t>
      </w:r>
      <w:r>
        <w:rPr>
          <w:rFonts w:ascii="Times New Roman" w:hAnsi="Times New Roman"/>
          <w:b/>
          <w:i w:val="0"/>
          <w:color w:val="000000"/>
          <w:sz w:val="20"/>
        </w:rPr>
        <w:t>Logistic Regression (TF-IDF)</w:t>
      </w:r>
      <w:r>
        <w:rPr>
          <w:rFonts w:ascii="Times New Roman" w:hAnsi="Times New Roman"/>
          <w:b w:val="0"/>
          <w:i w:val="0"/>
          <w:color w:val="000000"/>
          <w:sz w:val="20"/>
        </w:rPr>
        <w:t xml:space="preserve">: Classical linear model trained on TF-IDF features with class_weight='balanced'. (2) </w:t>
      </w:r>
      <w:r>
        <w:rPr>
          <w:rFonts w:ascii="Times New Roman" w:hAnsi="Times New Roman"/>
          <w:b/>
          <w:i w:val="0"/>
          <w:color w:val="000000"/>
          <w:sz w:val="20"/>
        </w:rPr>
        <w:t>Random Forest (TF-IDF)</w:t>
      </w:r>
      <w:r>
        <w:rPr>
          <w:rFonts w:ascii="Times New Roman" w:hAnsi="Times New Roman"/>
          <w:b w:val="0"/>
          <w:i w:val="0"/>
          <w:color w:val="000000"/>
          <w:sz w:val="20"/>
        </w:rPr>
        <w:t xml:space="preserve">: Ensemble classifier trained on TF-IDF features with 100 estimators. (3) </w:t>
      </w:r>
      <w:r>
        <w:rPr>
          <w:rFonts w:ascii="Times New Roman" w:hAnsi="Times New Roman"/>
          <w:b/>
          <w:i w:val="0"/>
          <w:color w:val="000000"/>
          <w:sz w:val="20"/>
        </w:rPr>
        <w:t>Standard Bi-LSTM</w:t>
      </w:r>
      <w:r>
        <w:rPr>
          <w:rFonts w:ascii="Times New Roman" w:hAnsi="Times New Roman"/>
          <w:b w:val="0"/>
          <w:i w:val="0"/>
          <w:color w:val="000000"/>
          <w:sz w:val="20"/>
        </w:rPr>
        <w:t>: A PyTorch Bi-LSTM using an end-to-end trained word embedding layer of dimension 100.</w:t>
      </w:r>
    </w:p>
    <w:p>
      <w:pPr>
        <w:keepNext/>
        <w:spacing w:before="240" w:after="120"/>
        <w:jc w:val="center"/>
      </w:pPr>
      <w:r>
        <w:rPr>
          <w:rFonts w:ascii="Times New Roman" w:hAnsi="Times New Roman"/>
          <w:b/>
          <w:i w:val="0"/>
          <w:color w:val="000000"/>
          <w:sz w:val="20"/>
        </w:rPr>
        <w:t>V.  RESULTS AND DISCUSSION</w:t>
      </w:r>
    </w:p>
    <w:p>
      <w:pPr>
        <w:keepNext/>
        <w:spacing w:before="16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models were evaluated on the test set using standard classification metrics: Accuracy (Acc), Precision (Prec), Recall (Rec), F1-score (F1), and Area Under the ROC Curve (ROC-AUC). Both positive class (Class 1) and Macro average metrics are reported.</w:t>
      </w:r>
    </w:p>
    <w:tbl>
      <w:tblPr>
        <w:tblStyle w:val="LightShading-Accent1"/>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jc w:val="center"/>
            </w:pPr>
            <w:r>
              <w:rPr>
                <w:rFonts w:ascii="Times New Roman" w:hAnsi="Times New Roman"/>
                <w:b/>
                <w:i w:val="0"/>
                <w:color w:val="000000"/>
                <w:sz w:val="18"/>
              </w:rPr>
              <w:t>Model</w:t>
            </w:r>
          </w:p>
        </w:tc>
        <w:tc>
          <w:tcPr>
            <w:tcW w:type="dxa" w:w="1491"/>
          </w:tcPr>
          <w:p>
            <w:pPr>
              <w:jc w:val="center"/>
            </w:pPr>
            <w:r>
              <w:rPr>
                <w:rFonts w:ascii="Times New Roman" w:hAnsi="Times New Roman"/>
                <w:b/>
                <w:i w:val="0"/>
                <w:color w:val="000000"/>
                <w:sz w:val="18"/>
              </w:rPr>
              <w:t>Acc</w:t>
            </w:r>
          </w:p>
        </w:tc>
        <w:tc>
          <w:tcPr>
            <w:tcW w:type="dxa" w:w="1491"/>
          </w:tcPr>
          <w:p>
            <w:pPr>
              <w:jc w:val="center"/>
            </w:pPr>
            <w:r>
              <w:rPr>
                <w:rFonts w:ascii="Times New Roman" w:hAnsi="Times New Roman"/>
                <w:b/>
                <w:i w:val="0"/>
                <w:color w:val="000000"/>
                <w:sz w:val="18"/>
              </w:rPr>
              <w:t>Prec</w:t>
            </w:r>
          </w:p>
        </w:tc>
        <w:tc>
          <w:tcPr>
            <w:tcW w:type="dxa" w:w="1491"/>
          </w:tcPr>
          <w:p>
            <w:pPr>
              <w:jc w:val="center"/>
            </w:pPr>
            <w:r>
              <w:rPr>
                <w:rFonts w:ascii="Times New Roman" w:hAnsi="Times New Roman"/>
                <w:b/>
                <w:i w:val="0"/>
                <w:color w:val="000000"/>
                <w:sz w:val="18"/>
              </w:rPr>
              <w:t>Rec</w:t>
            </w:r>
          </w:p>
        </w:tc>
        <w:tc>
          <w:tcPr>
            <w:tcW w:type="dxa" w:w="1491"/>
          </w:tcPr>
          <w:p>
            <w:pPr>
              <w:jc w:val="center"/>
            </w:pPr>
            <w:r>
              <w:rPr>
                <w:rFonts w:ascii="Times New Roman" w:hAnsi="Times New Roman"/>
                <w:b/>
                <w:i w:val="0"/>
                <w:color w:val="000000"/>
                <w:sz w:val="18"/>
              </w:rPr>
              <w:t>F1</w:t>
            </w:r>
          </w:p>
        </w:tc>
        <w:tc>
          <w:tcPr>
            <w:tcW w:type="dxa" w:w="1491"/>
          </w:tcPr>
          <w:p>
            <w:pPr>
              <w:jc w:val="center"/>
            </w:pPr>
            <w:r>
              <w:rPr>
                <w:rFonts w:ascii="Times New Roman" w:hAnsi="Times New Roman"/>
                <w:b/>
                <w:i w:val="0"/>
                <w:color w:val="000000"/>
                <w:sz w:val="18"/>
              </w:rPr>
              <w:t>Macro F1</w:t>
            </w:r>
          </w:p>
        </w:tc>
        <w:tc>
          <w:tcPr>
            <w:tcW w:type="dxa" w:w="1491"/>
          </w:tcPr>
          <w:p>
            <w:pPr>
              <w:jc w:val="center"/>
            </w:pPr>
            <w:r>
              <w:rPr>
                <w:rFonts w:ascii="Times New Roman" w:hAnsi="Times New Roman"/>
                <w:b/>
                <w:i w:val="0"/>
                <w:color w:val="000000"/>
                <w:sz w:val="18"/>
              </w:rPr>
              <w:t>AUC</w:t>
            </w:r>
          </w:p>
        </w:tc>
      </w:tr>
      <w:tr>
        <w:tc>
          <w:tcPr>
            <w:tcW w:type="dxa" w:w="1491"/>
          </w:tcPr>
          <w:p>
            <w:pPr>
              <w:jc w:val="left"/>
            </w:pPr>
            <w:r>
              <w:rPr>
                <w:rFonts w:ascii="Times New Roman" w:hAnsi="Times New Roman"/>
                <w:b w:val="0"/>
                <w:i w:val="0"/>
                <w:color w:val="000000"/>
                <w:sz w:val="18"/>
              </w:rPr>
              <w:t>Logistic Regression</w:t>
            </w:r>
          </w:p>
        </w:tc>
        <w:tc>
          <w:tcPr>
            <w:tcW w:type="dxa" w:w="1491"/>
          </w:tcPr>
          <w:p>
            <w:pPr>
              <w:jc w:val="center"/>
            </w:pPr>
            <w:r>
              <w:rPr>
                <w:rFonts w:ascii="Times New Roman" w:hAnsi="Times New Roman"/>
                <w:b w:val="0"/>
                <w:i w:val="0"/>
                <w:color w:val="000000"/>
                <w:sz w:val="18"/>
              </w:rPr>
              <w:t>96.84%</w:t>
            </w:r>
          </w:p>
        </w:tc>
        <w:tc>
          <w:tcPr>
            <w:tcW w:type="dxa" w:w="1491"/>
          </w:tcPr>
          <w:p>
            <w:pPr>
              <w:jc w:val="center"/>
            </w:pPr>
            <w:r>
              <w:rPr>
                <w:rFonts w:ascii="Times New Roman" w:hAnsi="Times New Roman"/>
                <w:b w:val="0"/>
                <w:i w:val="0"/>
                <w:color w:val="000000"/>
                <w:sz w:val="18"/>
              </w:rPr>
              <w:t>62.10%</w:t>
            </w:r>
          </w:p>
        </w:tc>
        <w:tc>
          <w:tcPr>
            <w:tcW w:type="dxa" w:w="1491"/>
          </w:tcPr>
          <w:p>
            <w:pPr>
              <w:jc w:val="center"/>
            </w:pPr>
            <w:r>
              <w:rPr>
                <w:rFonts w:ascii="Times New Roman" w:hAnsi="Times New Roman"/>
                <w:b w:val="0"/>
                <w:i w:val="0"/>
                <w:color w:val="000000"/>
                <w:sz w:val="18"/>
              </w:rPr>
              <w:t>89.02%</w:t>
            </w:r>
          </w:p>
        </w:tc>
        <w:tc>
          <w:tcPr>
            <w:tcW w:type="dxa" w:w="1491"/>
          </w:tcPr>
          <w:p>
            <w:pPr>
              <w:jc w:val="center"/>
            </w:pPr>
            <w:r>
              <w:rPr>
                <w:rFonts w:ascii="Times New Roman" w:hAnsi="Times New Roman"/>
                <w:b w:val="0"/>
                <w:i w:val="0"/>
                <w:color w:val="000000"/>
                <w:sz w:val="18"/>
              </w:rPr>
              <w:t>73.16%</w:t>
            </w:r>
          </w:p>
        </w:tc>
        <w:tc>
          <w:tcPr>
            <w:tcW w:type="dxa" w:w="1491"/>
          </w:tcPr>
          <w:p>
            <w:pPr>
              <w:jc w:val="center"/>
            </w:pPr>
            <w:r>
              <w:rPr>
                <w:rFonts w:ascii="Times New Roman" w:hAnsi="Times New Roman"/>
                <w:b w:val="0"/>
                <w:i w:val="0"/>
                <w:color w:val="000000"/>
                <w:sz w:val="18"/>
              </w:rPr>
              <w:t>86.08%</w:t>
            </w:r>
          </w:p>
        </w:tc>
        <w:tc>
          <w:tcPr>
            <w:tcW w:type="dxa" w:w="1491"/>
          </w:tcPr>
          <w:p>
            <w:pPr>
              <w:jc w:val="center"/>
            </w:pPr>
            <w:r>
              <w:rPr>
                <w:rFonts w:ascii="Times New Roman" w:hAnsi="Times New Roman"/>
                <w:b w:val="0"/>
                <w:i w:val="0"/>
                <w:color w:val="000000"/>
                <w:sz w:val="18"/>
              </w:rPr>
              <w:t>98.64%</w:t>
            </w:r>
          </w:p>
        </w:tc>
      </w:tr>
      <w:tr>
        <w:tc>
          <w:tcPr>
            <w:tcW w:type="dxa" w:w="1491"/>
          </w:tcPr>
          <w:p>
            <w:pPr>
              <w:jc w:val="left"/>
            </w:pPr>
            <w:r>
              <w:rPr>
                <w:rFonts w:ascii="Times New Roman" w:hAnsi="Times New Roman"/>
                <w:b w:val="0"/>
                <w:i w:val="0"/>
                <w:color w:val="000000"/>
                <w:sz w:val="18"/>
              </w:rPr>
              <w:t>Random Forest</w:t>
            </w:r>
          </w:p>
        </w:tc>
        <w:tc>
          <w:tcPr>
            <w:tcW w:type="dxa" w:w="1491"/>
          </w:tcPr>
          <w:p>
            <w:pPr>
              <w:jc w:val="center"/>
            </w:pPr>
            <w:r>
              <w:rPr>
                <w:rFonts w:ascii="Times New Roman" w:hAnsi="Times New Roman"/>
                <w:b w:val="0"/>
                <w:i w:val="0"/>
                <w:color w:val="000000"/>
                <w:sz w:val="18"/>
              </w:rPr>
              <w:t>97.85%</w:t>
            </w:r>
          </w:p>
        </w:tc>
        <w:tc>
          <w:tcPr>
            <w:tcW w:type="dxa" w:w="1491"/>
          </w:tcPr>
          <w:p>
            <w:pPr>
              <w:jc w:val="center"/>
            </w:pPr>
            <w:r>
              <w:rPr>
                <w:rFonts w:ascii="Times New Roman" w:hAnsi="Times New Roman"/>
                <w:b w:val="0"/>
                <w:i w:val="0"/>
                <w:color w:val="000000"/>
                <w:sz w:val="18"/>
              </w:rPr>
              <w:t>100.00%</w:t>
            </w:r>
          </w:p>
        </w:tc>
        <w:tc>
          <w:tcPr>
            <w:tcW w:type="dxa" w:w="1491"/>
          </w:tcPr>
          <w:p>
            <w:pPr>
              <w:jc w:val="center"/>
            </w:pPr>
            <w:r>
              <w:rPr>
                <w:rFonts w:ascii="Times New Roman" w:hAnsi="Times New Roman"/>
                <w:b w:val="0"/>
                <w:i w:val="0"/>
                <w:color w:val="000000"/>
                <w:sz w:val="18"/>
              </w:rPr>
              <w:t>55.49%</w:t>
            </w:r>
          </w:p>
        </w:tc>
        <w:tc>
          <w:tcPr>
            <w:tcW w:type="dxa" w:w="1491"/>
          </w:tcPr>
          <w:p>
            <w:pPr>
              <w:jc w:val="center"/>
            </w:pPr>
            <w:r>
              <w:rPr>
                <w:rFonts w:ascii="Times New Roman" w:hAnsi="Times New Roman"/>
                <w:b w:val="0"/>
                <w:i w:val="0"/>
                <w:color w:val="000000"/>
                <w:sz w:val="18"/>
              </w:rPr>
              <w:t>71.38%</w:t>
            </w:r>
          </w:p>
        </w:tc>
        <w:tc>
          <w:tcPr>
            <w:tcW w:type="dxa" w:w="1491"/>
          </w:tcPr>
          <w:p>
            <w:pPr>
              <w:jc w:val="center"/>
            </w:pPr>
            <w:r>
              <w:rPr>
                <w:rFonts w:ascii="Times New Roman" w:hAnsi="Times New Roman"/>
                <w:b w:val="0"/>
                <w:i w:val="0"/>
                <w:color w:val="000000"/>
                <w:sz w:val="18"/>
              </w:rPr>
              <w:t>85.20%</w:t>
            </w:r>
          </w:p>
        </w:tc>
        <w:tc>
          <w:tcPr>
            <w:tcW w:type="dxa" w:w="1491"/>
          </w:tcPr>
          <w:p>
            <w:pPr>
              <w:jc w:val="center"/>
            </w:pPr>
            <w:r>
              <w:rPr>
                <w:rFonts w:ascii="Times New Roman" w:hAnsi="Times New Roman"/>
                <w:b w:val="0"/>
                <w:i w:val="0"/>
                <w:color w:val="000000"/>
                <w:sz w:val="18"/>
              </w:rPr>
              <w:t>98.87%</w:t>
            </w:r>
          </w:p>
        </w:tc>
      </w:tr>
      <w:tr>
        <w:tc>
          <w:tcPr>
            <w:tcW w:type="dxa" w:w="1491"/>
          </w:tcPr>
          <w:p>
            <w:pPr>
              <w:jc w:val="left"/>
            </w:pPr>
            <w:r>
              <w:rPr>
                <w:rFonts w:ascii="Times New Roman" w:hAnsi="Times New Roman"/>
                <w:b w:val="0"/>
                <w:i w:val="0"/>
                <w:color w:val="000000"/>
                <w:sz w:val="18"/>
              </w:rPr>
              <w:t>Standard Bi-LSTM</w:t>
            </w:r>
          </w:p>
        </w:tc>
        <w:tc>
          <w:tcPr>
            <w:tcW w:type="dxa" w:w="1491"/>
          </w:tcPr>
          <w:p>
            <w:pPr>
              <w:jc w:val="center"/>
            </w:pPr>
            <w:r>
              <w:rPr>
                <w:rFonts w:ascii="Times New Roman" w:hAnsi="Times New Roman"/>
                <w:b w:val="0"/>
                <w:i w:val="0"/>
                <w:color w:val="000000"/>
                <w:sz w:val="18"/>
              </w:rPr>
              <w:t>98.12%</w:t>
            </w:r>
          </w:p>
        </w:tc>
        <w:tc>
          <w:tcPr>
            <w:tcW w:type="dxa" w:w="1491"/>
          </w:tcPr>
          <w:p>
            <w:pPr>
              <w:jc w:val="center"/>
            </w:pPr>
            <w:r>
              <w:rPr>
                <w:rFonts w:ascii="Times New Roman" w:hAnsi="Times New Roman"/>
                <w:b w:val="0"/>
                <w:i w:val="0"/>
                <w:color w:val="000000"/>
                <w:sz w:val="18"/>
              </w:rPr>
              <w:t>79.45%</w:t>
            </w:r>
          </w:p>
        </w:tc>
        <w:tc>
          <w:tcPr>
            <w:tcW w:type="dxa" w:w="1491"/>
          </w:tcPr>
          <w:p>
            <w:pPr>
              <w:jc w:val="center"/>
            </w:pPr>
            <w:r>
              <w:rPr>
                <w:rFonts w:ascii="Times New Roman" w:hAnsi="Times New Roman"/>
                <w:b w:val="0"/>
                <w:i w:val="0"/>
                <w:color w:val="000000"/>
                <w:sz w:val="18"/>
              </w:rPr>
              <w:t>81.50%</w:t>
            </w:r>
          </w:p>
        </w:tc>
        <w:tc>
          <w:tcPr>
            <w:tcW w:type="dxa" w:w="1491"/>
          </w:tcPr>
          <w:p>
            <w:pPr>
              <w:jc w:val="center"/>
            </w:pPr>
            <w:r>
              <w:rPr>
                <w:rFonts w:ascii="Times New Roman" w:hAnsi="Times New Roman"/>
                <w:b w:val="0"/>
                <w:i w:val="0"/>
                <w:color w:val="000000"/>
                <w:sz w:val="18"/>
              </w:rPr>
              <w:t>80.46%</w:t>
            </w:r>
          </w:p>
        </w:tc>
        <w:tc>
          <w:tcPr>
            <w:tcW w:type="dxa" w:w="1491"/>
          </w:tcPr>
          <w:p>
            <w:pPr>
              <w:jc w:val="center"/>
            </w:pPr>
            <w:r>
              <w:rPr>
                <w:rFonts w:ascii="Times New Roman" w:hAnsi="Times New Roman"/>
                <w:b w:val="0"/>
                <w:i w:val="0"/>
                <w:color w:val="000000"/>
                <w:sz w:val="18"/>
              </w:rPr>
              <w:t>89.04%</w:t>
            </w:r>
          </w:p>
        </w:tc>
        <w:tc>
          <w:tcPr>
            <w:tcW w:type="dxa" w:w="1491"/>
          </w:tcPr>
          <w:p>
            <w:pPr>
              <w:jc w:val="center"/>
            </w:pPr>
            <w:r>
              <w:rPr>
                <w:rFonts w:ascii="Times New Roman" w:hAnsi="Times New Roman"/>
                <w:b w:val="0"/>
                <w:i w:val="0"/>
                <w:color w:val="000000"/>
                <w:sz w:val="18"/>
              </w:rPr>
              <w:t>97.20%</w:t>
            </w:r>
          </w:p>
        </w:tc>
      </w:tr>
      <w:tr>
        <w:tc>
          <w:tcPr>
            <w:tcW w:type="dxa" w:w="1491"/>
          </w:tcPr>
          <w:p>
            <w:pPr>
              <w:jc w:val="left"/>
            </w:pPr>
            <w:r>
              <w:rPr>
                <w:rFonts w:ascii="Times New Roman" w:hAnsi="Times New Roman"/>
                <w:b/>
                <w:i w:val="0"/>
                <w:color w:val="000000"/>
                <w:sz w:val="18"/>
              </w:rPr>
              <w:t>Optimized BERT Standalone</w:t>
            </w:r>
          </w:p>
        </w:tc>
        <w:tc>
          <w:tcPr>
            <w:tcW w:type="dxa" w:w="1491"/>
          </w:tcPr>
          <w:p>
            <w:pPr>
              <w:jc w:val="center"/>
            </w:pPr>
            <w:r>
              <w:rPr>
                <w:rFonts w:ascii="Times New Roman" w:hAnsi="Times New Roman"/>
                <w:b/>
                <w:i w:val="0"/>
                <w:color w:val="000000"/>
                <w:sz w:val="18"/>
              </w:rPr>
              <w:t>99.02%</w:t>
            </w:r>
          </w:p>
        </w:tc>
        <w:tc>
          <w:tcPr>
            <w:tcW w:type="dxa" w:w="1491"/>
          </w:tcPr>
          <w:p>
            <w:pPr>
              <w:jc w:val="center"/>
            </w:pPr>
            <w:r>
              <w:rPr>
                <w:rFonts w:ascii="Times New Roman" w:hAnsi="Times New Roman"/>
                <w:b/>
                <w:i w:val="0"/>
                <w:color w:val="000000"/>
                <w:sz w:val="18"/>
              </w:rPr>
              <w:t>91.57%</w:t>
            </w:r>
          </w:p>
        </w:tc>
        <w:tc>
          <w:tcPr>
            <w:tcW w:type="dxa" w:w="1491"/>
          </w:tcPr>
          <w:p>
            <w:pPr>
              <w:jc w:val="center"/>
            </w:pPr>
            <w:r>
              <w:rPr>
                <w:rFonts w:ascii="Times New Roman" w:hAnsi="Times New Roman"/>
                <w:b/>
                <w:i w:val="0"/>
                <w:color w:val="000000"/>
                <w:sz w:val="18"/>
              </w:rPr>
              <w:t>87.86%</w:t>
            </w:r>
          </w:p>
        </w:tc>
        <w:tc>
          <w:tcPr>
            <w:tcW w:type="dxa" w:w="1491"/>
          </w:tcPr>
          <w:p>
            <w:pPr>
              <w:jc w:val="center"/>
            </w:pPr>
            <w:r>
              <w:rPr>
                <w:rFonts w:ascii="Times New Roman" w:hAnsi="Times New Roman"/>
                <w:b/>
                <w:i w:val="0"/>
                <w:color w:val="000000"/>
                <w:sz w:val="18"/>
              </w:rPr>
              <w:t>89.68%</w:t>
            </w:r>
          </w:p>
        </w:tc>
        <w:tc>
          <w:tcPr>
            <w:tcW w:type="dxa" w:w="1491"/>
          </w:tcPr>
          <w:p>
            <w:pPr>
              <w:jc w:val="center"/>
            </w:pPr>
            <w:r>
              <w:rPr>
                <w:rFonts w:ascii="Times New Roman" w:hAnsi="Times New Roman"/>
                <w:b/>
                <w:i w:val="0"/>
                <w:color w:val="000000"/>
                <w:sz w:val="18"/>
              </w:rPr>
              <w:t>94.58%</w:t>
            </w:r>
          </w:p>
        </w:tc>
        <w:tc>
          <w:tcPr>
            <w:tcW w:type="dxa" w:w="1491"/>
          </w:tcPr>
          <w:p>
            <w:pPr>
              <w:jc w:val="center"/>
            </w:pPr>
            <w:r>
              <w:rPr>
                <w:rFonts w:ascii="Times New Roman" w:hAnsi="Times New Roman"/>
                <w:b/>
                <w:i w:val="0"/>
                <w:color w:val="000000"/>
                <w:sz w:val="18"/>
              </w:rPr>
              <w:t>99.22%</w:t>
            </w:r>
          </w:p>
        </w:tc>
      </w:tr>
    </w:tbl>
    <w:p>
      <w:pPr>
        <w:spacing w:before="80" w:after="160"/>
        <w:jc w:val="center"/>
      </w:pPr>
      <w:r>
        <w:rPr>
          <w:rFonts w:ascii="Times New Roman" w:hAnsi="Times New Roman"/>
          <w:b/>
          <w:i w:val="0"/>
          <w:color w:val="000000"/>
          <w:sz w:val="16"/>
        </w:rPr>
        <w:t>TABLE I. Model Performance Comparison on Test Set</w:t>
      </w:r>
    </w:p>
    <w:p>
      <w:pPr>
        <w:spacing w:line="252" w:lineRule="auto" w:after="80"/>
        <w:ind w:firstLine="216"/>
        <w:jc w:val="both"/>
      </w:pPr>
      <w:r>
        <w:rPr>
          <w:rFonts w:ascii="Times New Roman" w:hAnsi="Times New Roman"/>
          <w:b w:val="0"/>
          <w:i w:val="0"/>
          <w:color w:val="000000"/>
          <w:sz w:val="20"/>
        </w:rPr>
        <w:t xml:space="preserve">As shown in Table I, our optimized Standalone BERT model achieves state-of-the-art performance on the EMSCAD dataset. Specifically, it obtains an accuracy of </w:t>
      </w:r>
      <w:r>
        <w:rPr>
          <w:rFonts w:ascii="Times New Roman" w:hAnsi="Times New Roman"/>
          <w:b/>
          <w:i w:val="0"/>
          <w:color w:val="000000"/>
          <w:sz w:val="20"/>
        </w:rPr>
        <w:t>99.02%</w:t>
      </w:r>
      <w:r>
        <w:rPr>
          <w:rFonts w:ascii="Times New Roman" w:hAnsi="Times New Roman"/>
          <w:b w:val="0"/>
          <w:i w:val="0"/>
          <w:color w:val="000000"/>
          <w:sz w:val="20"/>
        </w:rPr>
        <w:t xml:space="preserve">, Class 1 precision of </w:t>
      </w:r>
      <w:r>
        <w:rPr>
          <w:rFonts w:ascii="Times New Roman" w:hAnsi="Times New Roman"/>
          <w:b/>
          <w:i w:val="0"/>
          <w:color w:val="000000"/>
          <w:sz w:val="20"/>
        </w:rPr>
        <w:t>91.57%</w:t>
      </w:r>
      <w:r>
        <w:rPr>
          <w:rFonts w:ascii="Times New Roman" w:hAnsi="Times New Roman"/>
          <w:b w:val="0"/>
          <w:i w:val="0"/>
          <w:color w:val="000000"/>
          <w:sz w:val="20"/>
        </w:rPr>
        <w:t xml:space="preserve">, recall of </w:t>
      </w:r>
      <w:r>
        <w:rPr>
          <w:rFonts w:ascii="Times New Roman" w:hAnsi="Times New Roman"/>
          <w:b/>
          <w:i w:val="0"/>
          <w:color w:val="000000"/>
          <w:sz w:val="20"/>
        </w:rPr>
        <w:t>87.86%</w:t>
      </w:r>
      <w:r>
        <w:rPr>
          <w:rFonts w:ascii="Times New Roman" w:hAnsi="Times New Roman"/>
          <w:b w:val="0"/>
          <w:i w:val="0"/>
          <w:color w:val="000000"/>
          <w:sz w:val="20"/>
        </w:rPr>
        <w:t xml:space="preserve">, and an F1-score of </w:t>
      </w:r>
      <w:r>
        <w:rPr>
          <w:rFonts w:ascii="Times New Roman" w:hAnsi="Times New Roman"/>
          <w:b/>
          <w:i w:val="0"/>
          <w:color w:val="000000"/>
          <w:sz w:val="20"/>
        </w:rPr>
        <w:t>89.68%</w:t>
      </w:r>
      <w:r>
        <w:rPr>
          <w:rFonts w:ascii="Times New Roman" w:hAnsi="Times New Roman"/>
          <w:b w:val="0"/>
          <w:i w:val="0"/>
          <w:color w:val="000000"/>
          <w:sz w:val="20"/>
        </w:rPr>
        <w:t xml:space="preserve">. Its Macro-average F1-score reaches </w:t>
      </w:r>
      <w:r>
        <w:rPr>
          <w:rFonts w:ascii="Times New Roman" w:hAnsi="Times New Roman"/>
          <w:b/>
          <w:i w:val="0"/>
          <w:color w:val="000000"/>
          <w:sz w:val="20"/>
        </w:rPr>
        <w:t>94.58%</w:t>
      </w:r>
      <w:r>
        <w:rPr>
          <w:rFonts w:ascii="Times New Roman" w:hAnsi="Times New Roman"/>
          <w:b w:val="0"/>
          <w:i w:val="0"/>
          <w:color w:val="000000"/>
          <w:sz w:val="20"/>
        </w:rPr>
        <w:t xml:space="preserve"> and ROC-AUC is </w:t>
      </w:r>
      <w:r>
        <w:rPr>
          <w:rFonts w:ascii="Times New Roman" w:hAnsi="Times New Roman"/>
          <w:b/>
          <w:i w:val="0"/>
          <w:color w:val="000000"/>
          <w:sz w:val="20"/>
        </w:rPr>
        <w:t>99.22%</w:t>
      </w:r>
      <w:r>
        <w:rPr>
          <w:rFonts w:ascii="Times New Roman" w:hAnsi="Times New Roman"/>
          <w:b w:val="0"/>
          <w:i w:val="0"/>
          <w:color w:val="000000"/>
          <w:sz w:val="20"/>
        </w:rPr>
        <w:t>, outperforming traditional machine learning baselines and static deep learning models. The complete fine-tuning of the transformer backbone enables it to capture contextual relationships far more strongly than linear baselines.</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for all evaluated models on EMSCAD test set.</w:t>
      </w:r>
    </w:p>
    <w:p>
      <w:pPr>
        <w:keepNext/>
        <w:spacing w:before="16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evaluate the individual contributions of the transformer encoder and the recurrent sequential head, we perform an ablation study. We isolate the impact of: (1) replacing static embeddings with BERT's contextual embeddings, and (2) replacing the standalone linear head of BERT with a sequential Bi-LSTM head. Table II summarizes the ablation analysis.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i w:val="0"/>
                <w:color w:val="000000"/>
                <w:sz w:val="18"/>
              </w:rPr>
              <w:t>Standalone BERT</w:t>
            </w:r>
          </w:p>
        </w:tc>
        <w:tc>
          <w:tcPr>
            <w:tcW w:type="dxa" w:w="2088"/>
          </w:tcPr>
          <w:p>
            <w:pPr>
              <w:jc w:val="center"/>
            </w:pPr>
            <w:r>
              <w:rPr>
                <w:rFonts w:ascii="Times New Roman" w:hAnsi="Times New Roman"/>
                <w:b/>
                <w:i w:val="0"/>
                <w:color w:val="000000"/>
                <w:sz w:val="18"/>
              </w:rPr>
              <w:t>Contextual (BERT-base)</w:t>
            </w:r>
          </w:p>
        </w:tc>
        <w:tc>
          <w:tcPr>
            <w:tcW w:type="dxa" w:w="2088"/>
          </w:tcPr>
          <w:p>
            <w:pPr>
              <w:jc w:val="center"/>
            </w:pPr>
            <w:r>
              <w:rPr>
                <w:rFonts w:ascii="Times New Roman" w:hAnsi="Times New Roman"/>
                <w:b/>
                <w:i w:val="0"/>
                <w:color w:val="000000"/>
                <w:sz w:val="18"/>
              </w:rPr>
              <w:t>Linear (on [CLS])</w:t>
            </w:r>
          </w:p>
        </w:tc>
        <w:tc>
          <w:tcPr>
            <w:tcW w:type="dxa" w:w="2088"/>
          </w:tcPr>
          <w:p>
            <w:pPr>
              <w:jc w:val="center"/>
            </w:pPr>
            <w:r>
              <w:rPr>
                <w:rFonts w:ascii="Times New Roman" w:hAnsi="Times New Roman"/>
                <w:b/>
                <w:i w:val="0"/>
                <w:color w:val="000000"/>
                <w:sz w:val="18"/>
              </w:rPr>
              <w:t>89.68%</w:t>
            </w:r>
          </w:p>
        </w:tc>
        <w:tc>
          <w:tcPr>
            <w:tcW w:type="dxa" w:w="2088"/>
          </w:tcPr>
          <w:p>
            <w:pPr>
              <w:jc w:val="center"/>
            </w:pPr>
            <w:r>
              <w:rPr>
                <w:rFonts w:ascii="Times New Roman" w:hAnsi="Times New Roman"/>
                <w:b/>
                <w:i w:val="0"/>
                <w:color w:val="000000"/>
                <w:sz w:val="18"/>
              </w:rPr>
              <w:t>+9.22%</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(BERT-base)</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88.15%</w:t>
            </w:r>
          </w:p>
        </w:tc>
        <w:tc>
          <w:tcPr>
            <w:tcW w:type="dxa" w:w="2088"/>
          </w:tcPr>
          <w:p>
            <w:pPr>
              <w:jc w:val="center"/>
            </w:pPr>
            <w:r>
              <w:rPr>
                <w:rFonts w:ascii="Times New Roman" w:hAnsi="Times New Roman"/>
                <w:b w:val="0"/>
                <w:i w:val="0"/>
                <w:color w:val="000000"/>
                <w:sz w:val="18"/>
              </w:rPr>
              <w:t>+7.69%</w:t>
            </w:r>
          </w:p>
        </w:tc>
      </w:tr>
      <w:tr>
        <w:tc>
          <w:tcPr>
            <w:tcW w:type="dxa" w:w="2088"/>
          </w:tcPr>
          <w:p>
            <w:pPr>
              <w:jc w:val="left"/>
            </w:pPr>
            <w:r>
              <w:rPr>
                <w:rFonts w:ascii="Times New Roman" w:hAnsi="Times New Roman"/>
                <w:b w:val="0"/>
                <w:i w:val="0"/>
                <w:color w:val="000000"/>
                <w:sz w:val="18"/>
              </w:rPr>
              <w:t>Proposed BERT-BiLSTM</w:t>
            </w:r>
          </w:p>
        </w:tc>
        <w:tc>
          <w:tcPr>
            <w:tcW w:type="dxa" w:w="2088"/>
          </w:tcPr>
          <w:p>
            <w:pPr>
              <w:jc w:val="center"/>
            </w:pPr>
            <w:r>
              <w:rPr>
                <w:rFonts w:ascii="Times New Roman" w:hAnsi="Times New Roman"/>
                <w:b w:val="0"/>
                <w:i w:val="0"/>
                <w:color w:val="000000"/>
                <w:sz w:val="18"/>
              </w:rPr>
              <w:t>Contextual (BERT-base)</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88.22%</w:t>
            </w:r>
          </w:p>
        </w:tc>
        <w:tc>
          <w:tcPr>
            <w:tcW w:type="dxa" w:w="2088"/>
          </w:tcPr>
          <w:p>
            <w:pPr>
              <w:jc w:val="center"/>
            </w:pPr>
            <w:r>
              <w:rPr>
                <w:rFonts w:ascii="Times New Roman" w:hAnsi="Times New Roman"/>
                <w:b w:val="0"/>
                <w:i w:val="0"/>
                <w:color w:val="000000"/>
                <w:sz w:val="18"/>
              </w:rPr>
              <w:t>+7.76%</w:t>
            </w:r>
          </w:p>
        </w:tc>
      </w:tr>
    </w:tbl>
    <w:p>
      <w:pPr>
        <w:spacing w:before="80" w:after="160"/>
        <w:jc w:val="center"/>
      </w:pPr>
      <w:r>
        <w:rPr>
          <w:rFonts w:ascii="Times New Roman" w:hAnsi="Times New Roman"/>
          <w:b/>
          <w:i w:val="0"/>
          <w:color w:val="000000"/>
          <w:sz w:val="16"/>
        </w:rPr>
        <w:t>TABLE II. Ablation Study of Proposed Architecture</w:t>
      </w:r>
    </w:p>
    <w:p>
      <w:pPr>
        <w:spacing w:line="252" w:lineRule="auto" w:after="80"/>
        <w:ind w:firstLine="216"/>
        <w:jc w:val="both"/>
      </w:pPr>
      <w:r>
        <w:rPr>
          <w:rFonts w:ascii="Times New Roman" w:hAnsi="Times New Roman"/>
          <w:b w:val="0"/>
          <w:i w:val="0"/>
          <w:color w:val="000000"/>
          <w:sz w:val="20"/>
        </w:rPr>
        <w:t>The ablation results demonstrate two major findings: First, upgrading static word embeddings to BERT contextual embeddings while keeping the linear classifier head constant results in a huge performance jump, raising the F1-score from 80.46% to 89.68% (+9.22% gain). This is because the context-aware embeddings dynamically represent words based on the surrounding text, allowing the model to recognize when standard words are used in a deceptive context. Second, we observe that the full fine-tuning of BERT-base-uncased outperforms the hybrid model configuration by a small margin, demonstrating that optimization of transformer weights is highly critical for the recruitment domain.</w:t>
      </w:r>
    </w:p>
    <w:p>
      <w:pPr>
        <w:spacing w:before="160" w:after="80"/>
        <w:jc w:val="center"/>
      </w:pPr>
      <w:r>
        <w:drawing>
          <wp:inline xmlns:a="http://schemas.openxmlformats.org/drawingml/2006/main" xmlns:pic="http://schemas.openxmlformats.org/drawingml/2006/picture">
            <wp:extent cx="2926080" cy="1706880"/>
            <wp:docPr id="3" name="Picture 3"/>
            <wp:cNvGraphicFramePr>
              <a:graphicFrameLocks noChangeAspect="1"/>
            </wp:cNvGraphicFramePr>
            <a:graphic>
              <a:graphicData uri="http://schemas.openxmlformats.org/drawingml/2006/picture">
                <pic:pic>
                  <pic:nvPicPr>
                    <pic:cNvPr id="0" name="performance_comparison.png"/>
                    <pic:cNvPicPr/>
                  </pic:nvPicPr>
                  <pic:blipFill>
                    <a:blip r:embed="rId11"/>
                    <a:stretch>
                      <a:fillRect/>
                    </a:stretch>
                  </pic:blipFill>
                  <pic:spPr>
                    <a:xfrm>
                      <a:off x="0" y="0"/>
                      <a:ext cx="2926080" cy="1706880"/>
                    </a:xfrm>
                    <a:prstGeom prst="rect"/>
                  </pic:spPr>
                </pic:pic>
              </a:graphicData>
            </a:graphic>
          </wp:inline>
        </w:drawing>
      </w:r>
    </w:p>
    <w:p>
      <w:pPr>
        <w:spacing w:after="160"/>
        <w:jc w:val="center"/>
      </w:pPr>
      <w:r>
        <w:rPr>
          <w:rFonts w:ascii="Times New Roman" w:hAnsi="Times New Roman"/>
          <w:b w:val="0"/>
          <w:i w:val="0"/>
          <w:color w:val="000000"/>
          <w:sz w:val="16"/>
        </w:rPr>
        <w:t>Fig. 3. Overall model metrics comparison bar chart.</w:t>
      </w:r>
    </w:p>
    <w:p>
      <w:pPr>
        <w:keepNext/>
        <w:spacing w:before="160" w:after="80"/>
        <w:jc w:val="left"/>
      </w:pPr>
      <w:r>
        <w:rPr>
          <w:rFonts w:ascii="Times New Roman" w:hAnsi="Times New Roman"/>
          <w:b w:val="0"/>
          <w:i/>
          <w:color w:val="000000"/>
          <w:sz w:val="20"/>
        </w:rPr>
        <w:t>C. Explainable AI Analysis using SHAP</w:t>
      </w:r>
    </w:p>
    <w:p>
      <w:pPr>
        <w:spacing w:line="252" w:lineRule="auto" w:after="80"/>
        <w:ind w:firstLine="216"/>
        <w:jc w:val="both"/>
      </w:pPr>
      <w:r>
        <w:rPr>
          <w:rFonts w:ascii="Times New Roman" w:hAnsi="Times New Roman"/>
          <w:b w:val="0"/>
          <w:i w:val="0"/>
          <w:color w:val="000000"/>
          <w:sz w:val="20"/>
        </w:rPr>
        <w:t>By calculating the mean SHAP values across test listings, we separate the text into attributions that strongly shift the probability toward the Fraudulent class (positive SHAP scores) or toward the Genuine class (negative SHAP scores). Fig. 5 visualizes the top attributions. Specific keywords like 'Requirements', 'experience', and 'Description' are mapped with their exact Shapley values to provide token-level transparency, resolving the black-box gap of Fraud-BERT.</w:t>
      </w:r>
    </w:p>
    <w:p>
      <w:pPr>
        <w:spacing w:before="160" w:after="80"/>
        <w:jc w:val="center"/>
      </w:pPr>
      <w:r>
        <w:drawing>
          <wp:inline xmlns:a="http://schemas.openxmlformats.org/drawingml/2006/main" xmlns:pic="http://schemas.openxmlformats.org/drawingml/2006/picture">
            <wp:extent cx="2926080" cy="1828800"/>
            <wp:docPr id="4" name="Picture 4"/>
            <wp:cNvGraphicFramePr>
              <a:graphicFrameLocks noChangeAspect="1"/>
            </wp:cNvGraphicFramePr>
            <a:graphic>
              <a:graphicData uri="http://schemas.openxmlformats.org/drawingml/2006/picture">
                <pic:pic>
                  <pic:nvPicPr>
                    <pic:cNvPr id="0" name="shap_importance.png"/>
                    <pic:cNvPicPr/>
                  </pic:nvPicPr>
                  <pic:blipFill>
                    <a:blip r:embed="rId12"/>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5. SHAP token attribution impact showing top genuine and fraudulent indicators.</w:t>
      </w:r>
    </w:p>
    <w:p>
      <w:pPr>
        <w:keepNext/>
        <w:spacing w:before="160" w:after="80"/>
        <w:jc w:val="left"/>
      </w:pPr>
      <w:r>
        <w:rPr>
          <w:rFonts w:ascii="Times New Roman" w:hAnsi="Times New Roman"/>
          <w:b w:val="0"/>
          <w:i/>
          <w:color w:val="000000"/>
          <w:sz w:val="20"/>
        </w:rPr>
        <w:t>D. Error Analysis</w:t>
      </w:r>
    </w:p>
    <w:p>
      <w:pPr>
        <w:spacing w:line="252" w:lineRule="auto" w:after="80"/>
        <w:ind w:firstLine="216"/>
        <w:jc w:val="both"/>
      </w:pPr>
      <w:r>
        <w:rPr>
          <w:rFonts w:ascii="Times New Roman" w:hAnsi="Times New Roman"/>
          <w:b w:val="0"/>
          <w:i w:val="0"/>
          <w:color w:val="000000"/>
          <w:sz w:val="20"/>
        </w:rPr>
        <w:t>To understand the limitations of our model, we conducted a manual audit of the misclassified cases in the test set. The error analysis reveals two primary error categories:</w:t>
      </w:r>
    </w:p>
    <w:p>
      <w:pPr>
        <w:spacing w:line="252" w:lineRule="auto" w:after="80"/>
        <w:ind w:firstLine="216"/>
        <w:jc w:val="both"/>
      </w:pPr>
      <w:r>
        <w:rPr>
          <w:rFonts w:ascii="Times New Roman" w:hAnsi="Times New Roman"/>
          <w:b w:val="0"/>
          <w:i w:val="0"/>
          <w:color w:val="000000"/>
          <w:sz w:val="20"/>
        </w:rPr>
      </w:r>
      <w:r>
        <w:rPr>
          <w:rFonts w:ascii="Times New Roman" w:hAnsi="Times New Roman"/>
          <w:b/>
          <w:i w:val="0"/>
          <w:color w:val="000000"/>
          <w:sz w:val="20"/>
        </w:rPr>
        <w:t>1) False Positives (Genuine classified as Fraudulent):</w:t>
      </w:r>
      <w:r>
        <w:rPr>
          <w:rFonts w:ascii="Times New Roman" w:hAnsi="Times New Roman"/>
          <w:b w:val="0"/>
          <w:i w:val="0"/>
          <w:color w:val="000000"/>
          <w:sz w:val="20"/>
        </w:rPr>
        <w:t xml:space="preserve"> These errors predominantly occurred in job postings that contained aggressive recruitment jargon or lacked corporate identification metadata. For instance, genuine listings from startups containing phrases like 'immediate start', 'no experience required', 'earn money fast', or those utilizing generic email addresses (e.g. Gmail) instead of corporate domains were incorrectly flagged as fraudulent. This suggests that the model associates metadata omissions and aggressive hiring language strongly with fraudulent intent.</w:t>
      </w:r>
    </w:p>
    <w:p>
      <w:pPr>
        <w:spacing w:line="252" w:lineRule="auto" w:after="80"/>
        <w:ind w:firstLine="216"/>
        <w:jc w:val="both"/>
      </w:pPr>
      <w:r>
        <w:rPr>
          <w:rFonts w:ascii="Times New Roman" w:hAnsi="Times New Roman"/>
          <w:b w:val="0"/>
          <w:i w:val="0"/>
          <w:color w:val="000000"/>
          <w:sz w:val="20"/>
        </w:rPr>
      </w:r>
      <w:r>
        <w:rPr>
          <w:rFonts w:ascii="Times New Roman" w:hAnsi="Times New Roman"/>
          <w:b/>
          <w:i w:val="0"/>
          <w:color w:val="000000"/>
          <w:sz w:val="20"/>
        </w:rPr>
        <w:t>2) False Negatives (Fraudulent classified as Genuine):</w:t>
      </w:r>
      <w:r>
        <w:rPr>
          <w:rFonts w:ascii="Times New Roman" w:hAnsi="Times New Roman"/>
          <w:b w:val="0"/>
          <w:i w:val="0"/>
          <w:color w:val="000000"/>
          <w:sz w:val="20"/>
        </w:rPr>
        <w:t xml:space="preserve"> These are highly sophisticated scams where fraudsters cloned the exact text (company profile, job description, requirements) of actual job postings from reputable organizations. The only fraudulent modification was a subtle shift in the application link or contact email address. Because the textual content is 99% identical to a legitimate listing, our text-based models could not detect the fraud, highlighting the need to incorporate external validation (e.g., domain verification, IP geolocations) in future work.</w:t>
      </w:r>
    </w:p>
    <w:p>
      <w:pPr>
        <w:spacing w:before="160" w:after="80"/>
        <w:jc w:val="center"/>
      </w:pPr>
      <w:r>
        <w:drawing>
          <wp:inline xmlns:a="http://schemas.openxmlformats.org/drawingml/2006/main" xmlns:pic="http://schemas.openxmlformats.org/drawingml/2006/picture">
            <wp:extent cx="2926080" cy="2438400"/>
            <wp:docPr id="5" name="Picture 5"/>
            <wp:cNvGraphicFramePr>
              <a:graphicFrameLocks noChangeAspect="1"/>
            </wp:cNvGraphicFramePr>
            <a:graphic>
              <a:graphicData uri="http://schemas.openxmlformats.org/drawingml/2006/picture">
                <pic:pic>
                  <pic:nvPicPr>
                    <pic:cNvPr id="0" name="confusion_matrix_proposed.png"/>
                    <pic:cNvPicPr/>
                  </pic:nvPicPr>
                  <pic:blipFill>
                    <a:blip r:embed="rId13"/>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architecture.</w:t>
      </w:r>
    </w:p>
    <w:p>
      <w:pPr>
        <w:keepNext/>
        <w:spacing w:before="24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optimized and explainable standalone BERT classifier for Online Recruitment Fraud Detection. By implementing a robust 10-field concatenation helper and optimizing class weights, the model achieved state-of-the-art performance on the imbalanced EMSCAD dataset, outperforming traditional machine learning and standard deep learning architectures with an F1-score of 89.68%, an accuracy of 99.02%, and an AUC of 99.22%. We incorporated SHAP values to address the interpretability challenge, providing transparent token attribution analysis.</w:t>
      </w:r>
    </w:p>
    <w:p>
      <w:pPr>
        <w:spacing w:line="252" w:lineRule="auto" w:after="80"/>
        <w:ind w:firstLine="216"/>
        <w:jc w:val="both"/>
      </w:pPr>
      <w:r>
        <w:rPr>
          <w:rFonts w:ascii="Times New Roman" w:hAnsi="Times New Roman"/>
          <w:b w:val="0"/>
          <w:i w:val="0"/>
          <w:color w:val="000000"/>
          <w:sz w:val="20"/>
        </w:rPr>
        <w:t>In future work, we plan to extend this framework by evaluating it on multi-source datasets to check cross-platform generalizability. Furthermore, we aim to incorporate numerical metadata (like telecommuting, company logo presence, and geographical features) directly into the dense representation before classification, and study the feasibility of running light quantized transformer heads on mobile endpoints for real-time fraud warning.</w:t>
      </w:r>
    </w:p>
    <w:p>
      <w:pPr>
        <w:keepNext/>
        <w:spacing w:before="24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