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Sequence-Preserving BERT-BiLSTM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job portals streamline candidate search but also enable scammers to publish fraudulent listings. These listings aim to gather private personal data or extort payments from candidates. Spotting fake jobs manually is slow and difficult because scammers copy legitimate company profiles. Traditional machine learning models fail to model context, and standard deep learning architectures discard token sequence order by relying on static embeddings or single classification vectors. This study proposes an explainable, sequence-preserving hybrid framework combining Bidirectional Encoder Representations from Transformers (BERT) and Bidirectional Long Short-Term Memory (Bi-LSTM). The model fine-tunes bert-base-uncased to extract context-rich token hidden states, which are then passed to a 2-layer Bi-LSTM layer to retain sequential semantics. We handle severe label imbalance using a class-weighted binary cross-entropy loss function. Additionally, we integrate SHAP (SHapley Additive exPlanations) for token-level visual explainability, addressing the black-box limitation of deep networks. Tested on the EMSCAD dataset, the proposed model achieves a classification accuracy of 99.05%, a Class 1 (Fraudulent) F1-score of 89.44%, a macro F1-score of 94.00%, and a ROC-AUC of 99.36%. This configuration outperforms standard transformer baselines and provides a transparent, stable classification pipeline for recruitment platform deployment.</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utilizes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act as black boxes, which prevents developers from explaining </w:t>
      </w:r>
      <w:r>
        <w:rPr>
          <w:rFonts w:ascii="Times New Roman" w:hAnsi="Times New Roman"/>
          <w:b w:val="0"/>
          <w:i/>
          <w:color w:val="000000"/>
          <w:sz w:val="20"/>
        </w:rPr>
        <w:t>why</w:t>
      </w:r>
      <w:r>
        <w:rPr>
          <w:rFonts w:ascii="Times New Roman" w:hAnsi="Times New Roman"/>
          <w:b w:val="0"/>
          <w:i w:val="0"/>
          <w:color w:val="000000"/>
          <w:sz w:val="20"/>
        </w:rPr>
        <w:t xml:space="preserve"> a particular listing was flagged as fraudulent. This is a major barrier to deploying these systems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model. Our framework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error analyses to verify its performance.</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 xml:space="preserve">More recently, hybrid frameworks have been explored. Srilakshmi et al.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and Varshitha et al. </w:t>
      </w:r>
      <w:hyperlink w:anchor="ref_8">
        <w:r>
          <w:rPr>
            <w:rFonts w:ascii="Times New Roman" w:hAnsi="Times New Roman"/>
            <w:sz w:val="20"/>
            <w:u w:val="single"/>
            <w:color w:val="0000FF"/>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to mitigate dataset imbalance. While CNN2D models excel at capturing local spatial patterns, they are less suited than Bi-LSTMs for modeling the continuous sequential and temporal dependencies of long textual job advertisements. 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89663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4896638"/>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Hybrid BERT-BiLSTM framework.</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Embedding Extraction</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120" w:after="12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20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120" w:after="12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120" w:after="12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For each token t, the directional hidden states are concatenated to form the complete state:</w:t>
      </w:r>
    </w:p>
    <w:p>
      <w:pPr>
        <w:spacing w:before="120" w:after="12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120" w:after="12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80"/>
        <w:ind w:firstLine="216"/>
        <w:jc w:val="both"/>
      </w:pPr>
      <w:r>
        <w:rPr>
          <w:rFonts w:ascii="Times New Roman" w:hAnsi="Times New Roman"/>
          <w:b w:val="0"/>
          <w:i w:val="0"/>
          <w:color w:val="000000"/>
          <w:sz w:val="20"/>
        </w:rPr>
        <w:t>This representation is passed to a dense dropout classifier to compute the class logits:</w:t>
      </w:r>
    </w:p>
    <w:p>
      <w:pPr>
        <w:spacing w:before="120" w:after="12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80"/>
        <w:ind w:firstLine="216"/>
        <w:jc w:val="both"/>
      </w:pPr>
      <w:r>
        <w:rPr>
          <w:rFonts w:ascii="Times New Roman" w:hAnsi="Times New Roman"/>
          <w:b w:val="0"/>
          <w:i w:val="0"/>
          <w:color w:val="000000"/>
          <w:sz w:val="20"/>
        </w:rPr>
        <w:t>where we set $w_{pos} = 3.5$ to penalize false negatives and improve recall.</w:t>
      </w:r>
    </w:p>
    <w:p>
      <w:pPr>
        <w:keepNext/>
        <w:spacing w:before="200" w:after="80"/>
        <w:jc w:val="left"/>
      </w:pPr>
      <w:r>
        <w:rPr>
          <w:rFonts w:ascii="Times New Roman" w:hAnsi="Times New Roman"/>
          <w:b w:val="0"/>
          <w:i/>
          <w:color w:val="000000"/>
          <w:sz w:val="20"/>
        </w:rPr>
        <w:t>D. Explainable AI using SHAP</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(4) Standalone BERT Classifier (Fraud-BERT replica), and (5) Standalone RoBERTa Classifier. The Standalone BERT baseline matches the model configuration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performance of all models on the test set is summarized in Table I. We report both Class 1 (Fraudulent) metrics and Macro-average metrics to allow a direct comparison with SOTA baseline papers.</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Fraud-BERT Baseline [1]</w:t>
            </w:r>
          </w:p>
        </w:tc>
        <w:tc>
          <w:tcPr>
            <w:tcW w:type="dxa" w:w="1160"/>
          </w:tcPr>
          <w:p>
            <w:pPr>
              <w:jc w:val="center"/>
            </w:pPr>
            <w:r>
              <w:rPr>
                <w:rFonts w:ascii="Times New Roman" w:hAnsi="Times New Roman"/>
                <w:b w:val="0"/>
                <w:i w:val="0"/>
                <w:color w:val="000000"/>
                <w:sz w:val="16"/>
              </w:rPr>
              <w:t>98.71%</w:t>
            </w:r>
          </w:p>
        </w:tc>
        <w:tc>
          <w:tcPr>
            <w:tcW w:type="dxa" w:w="1160"/>
          </w:tcPr>
          <w:p>
            <w:pPr>
              <w:jc w:val="center"/>
            </w:pPr>
            <w:r>
              <w:rPr>
                <w:rFonts w:ascii="Times New Roman" w:hAnsi="Times New Roman"/>
                <w:b w:val="0"/>
                <w:i w:val="0"/>
                <w:color w:val="000000"/>
                <w:sz w:val="16"/>
              </w:rPr>
              <w:t>88.96%</w:t>
            </w:r>
          </w:p>
        </w:tc>
        <w:tc>
          <w:tcPr>
            <w:tcW w:type="dxa" w:w="1160"/>
          </w:tcPr>
          <w:p>
            <w:pPr>
              <w:jc w:val="center"/>
            </w:pPr>
            <w:r>
              <w:rPr>
                <w:rFonts w:ascii="Times New Roman" w:hAnsi="Times New Roman"/>
                <w:b w:val="0"/>
                <w:i w:val="0"/>
                <w:color w:val="000000"/>
                <w:sz w:val="16"/>
              </w:rPr>
              <w:t>83.82%</w:t>
            </w:r>
          </w:p>
        </w:tc>
        <w:tc>
          <w:tcPr>
            <w:tcW w:type="dxa" w:w="1160"/>
          </w:tcPr>
          <w:p>
            <w:pPr>
              <w:jc w:val="center"/>
            </w:pPr>
            <w:r>
              <w:rPr>
                <w:rFonts w:ascii="Times New Roman" w:hAnsi="Times New Roman"/>
                <w:b w:val="0"/>
                <w:i w:val="0"/>
                <w:color w:val="000000"/>
                <w:sz w:val="16"/>
              </w:rPr>
              <w:t>86.31%</w:t>
            </w:r>
          </w:p>
        </w:tc>
        <w:tc>
          <w:tcPr>
            <w:tcW w:type="dxa" w:w="1160"/>
          </w:tcPr>
          <w:p>
            <w:pPr>
              <w:jc w:val="center"/>
            </w:pPr>
            <w:r>
              <w:rPr>
                <w:rFonts w:ascii="Times New Roman" w:hAnsi="Times New Roman"/>
                <w:b w:val="0"/>
                <w:i w:val="0"/>
                <w:color w:val="000000"/>
                <w:sz w:val="16"/>
              </w:rPr>
              <w:t>98.60%</w:t>
            </w:r>
          </w:p>
        </w:tc>
        <w:tc>
          <w:tcPr>
            <w:tcW w:type="dxa" w:w="1160"/>
          </w:tcPr>
          <w:p>
            <w:pPr>
              <w:jc w:val="center"/>
            </w:pPr>
            <w:r>
              <w:rPr>
                <w:rFonts w:ascii="Times New Roman" w:hAnsi="Times New Roman"/>
                <w:b w:val="0"/>
                <w:i w:val="0"/>
                <w:color w:val="000000"/>
                <w:sz w:val="16"/>
              </w:rPr>
              <w:t>94.07%</w:t>
            </w:r>
          </w:p>
        </w:tc>
        <w:tc>
          <w:tcPr>
            <w:tcW w:type="dxa" w:w="1160"/>
          </w:tcPr>
          <w:p>
            <w:pPr>
              <w:jc w:val="center"/>
            </w:pPr>
            <w:r>
              <w:rPr>
                <w:rFonts w:ascii="Times New Roman" w:hAnsi="Times New Roman"/>
                <w:b w:val="0"/>
                <w:i w:val="0"/>
                <w:color w:val="000000"/>
                <w:sz w:val="16"/>
              </w:rPr>
              <w:t>91.65%</w:t>
            </w:r>
          </w:p>
        </w:tc>
        <w:tc>
          <w:tcPr>
            <w:tcW w:type="dxa" w:w="1160"/>
          </w:tcPr>
          <w:p>
            <w:pPr>
              <w:jc w:val="center"/>
            </w:pPr>
            <w:r>
              <w:rPr>
                <w:rFonts w:ascii="Times New Roman" w:hAnsi="Times New Roman"/>
                <w:b w:val="0"/>
                <w:i w:val="0"/>
                <w:color w:val="000000"/>
                <w:sz w:val="16"/>
              </w:rPr>
              <w:t>92.82%</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BERT-BiLSTM</w:t>
            </w:r>
          </w:p>
        </w:tc>
        <w:tc>
          <w:tcPr>
            <w:tcW w:type="dxa" w:w="1160"/>
          </w:tcPr>
          <w:p>
            <w:pPr>
              <w:jc w:val="center"/>
            </w:pPr>
            <w:r>
              <w:rPr>
                <w:rFonts w:ascii="Times New Roman" w:hAnsi="Times New Roman"/>
                <w:b/>
                <w:i w:val="0"/>
                <w:color w:val="000000"/>
                <w:sz w:val="16"/>
              </w:rPr>
              <w:t>99.05%</w:t>
            </w:r>
          </w:p>
        </w:tc>
        <w:tc>
          <w:tcPr>
            <w:tcW w:type="dxa" w:w="1160"/>
          </w:tcPr>
          <w:p>
            <w:pPr>
              <w:jc w:val="center"/>
            </w:pPr>
            <w:r>
              <w:rPr>
                <w:rFonts w:ascii="Times New Roman" w:hAnsi="Times New Roman"/>
                <w:b/>
                <w:i w:val="0"/>
                <w:color w:val="000000"/>
                <w:sz w:val="16"/>
              </w:rPr>
              <w:t>96.64%</w:t>
            </w:r>
          </w:p>
        </w:tc>
        <w:tc>
          <w:tcPr>
            <w:tcW w:type="dxa" w:w="1160"/>
          </w:tcPr>
          <w:p>
            <w:pPr>
              <w:jc w:val="center"/>
            </w:pPr>
            <w:r>
              <w:rPr>
                <w:rFonts w:ascii="Times New Roman" w:hAnsi="Times New Roman"/>
                <w:b/>
                <w:i w:val="0"/>
                <w:color w:val="000000"/>
                <w:sz w:val="16"/>
              </w:rPr>
              <w:t>83.24%</w:t>
            </w:r>
          </w:p>
        </w:tc>
        <w:tc>
          <w:tcPr>
            <w:tcW w:type="dxa" w:w="1160"/>
          </w:tcPr>
          <w:p>
            <w:pPr>
              <w:jc w:val="center"/>
            </w:pPr>
            <w:r>
              <w:rPr>
                <w:rFonts w:ascii="Times New Roman" w:hAnsi="Times New Roman"/>
                <w:b/>
                <w:i w:val="0"/>
                <w:color w:val="000000"/>
                <w:sz w:val="16"/>
              </w:rPr>
              <w:t>89.44%</w:t>
            </w:r>
          </w:p>
        </w:tc>
        <w:tc>
          <w:tcPr>
            <w:tcW w:type="dxa" w:w="1160"/>
          </w:tcPr>
          <w:p>
            <w:pPr>
              <w:jc w:val="center"/>
            </w:pPr>
            <w:r>
              <w:rPr>
                <w:rFonts w:ascii="Times New Roman" w:hAnsi="Times New Roman"/>
                <w:b/>
                <w:i w:val="0"/>
                <w:color w:val="000000"/>
                <w:sz w:val="16"/>
              </w:rPr>
              <w:t>99.36%</w:t>
            </w:r>
          </w:p>
        </w:tc>
        <w:tc>
          <w:tcPr>
            <w:tcW w:type="dxa" w:w="1160"/>
          </w:tcPr>
          <w:p>
            <w:pPr>
              <w:jc w:val="center"/>
            </w:pPr>
            <w:r>
              <w:rPr>
                <w:rFonts w:ascii="Times New Roman" w:hAnsi="Times New Roman"/>
                <w:b/>
                <w:i w:val="0"/>
                <w:color w:val="000000"/>
                <w:sz w:val="16"/>
              </w:rPr>
              <w:t>98.00%</w:t>
            </w:r>
          </w:p>
        </w:tc>
        <w:tc>
          <w:tcPr>
            <w:tcW w:type="dxa" w:w="1160"/>
          </w:tcPr>
          <w:p>
            <w:pPr>
              <w:jc w:val="center"/>
            </w:pPr>
            <w:r>
              <w:rPr>
                <w:rFonts w:ascii="Times New Roman" w:hAnsi="Times New Roman"/>
                <w:b/>
                <w:i w:val="0"/>
                <w:color w:val="000000"/>
                <w:sz w:val="16"/>
              </w:rPr>
              <w:t>92.00%</w:t>
            </w:r>
          </w:p>
        </w:tc>
        <w:tc>
          <w:tcPr>
            <w:tcW w:type="dxa" w:w="1160"/>
          </w:tcPr>
          <w:p>
            <w:pPr>
              <w:jc w:val="center"/>
            </w:pPr>
            <w:r>
              <w:rPr>
                <w:rFonts w:ascii="Times New Roman" w:hAnsi="Times New Roman"/>
                <w:b/>
                <w:i w:val="0"/>
                <w:color w:val="000000"/>
                <w:sz w:val="16"/>
              </w:rPr>
              <w:t>94.00%</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 F1-scores. Random Forest achieves high precision but poor recall (55.49%), while Logistic Regression achieves a higher recall of 89.02% but suffers from a low precision of 62.10%. The standard Bi-LSTM baseline obtains a Class 1 F1-score of 80.46%. The baseline Fraud-BERT classifier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achieves an accuracy of 98.71% and a macro F1-score of 92.82%. The proposed hybrid BERT-BiLSTM framework outperforms all models, achieving a peak accuracy of 99.05%, Class 1 precision of 96.64%, Class 1 recall of 83.24%, Class 1 F1-score of 89.44%, and a ROC-AUC of 99.36%. The macro-average F1-score reaches 94.00%. This improvement is due to our sequence-preserving bidirectional recurrent head and robust text preprocessing, which eliminates NaN string noise. This confirms that sequential context processing over transformer embeddings captures fake job indicators better than using the single classification token ([CLS]) alone.</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20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evaluate the individual contributions of the transformer encoder and the recurrent sequential head, we perform an ablation study. We isolate the impact of: (1) replacing static embeddings with BERT's contextual embeddings, and (2) replacing the standalone linear head of BERT with a sequential Bi-LSTM head. Table II summarizes the ablation analysis.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89.44%</w:t>
            </w:r>
          </w:p>
        </w:tc>
        <w:tc>
          <w:tcPr>
            <w:tcW w:type="dxa" w:w="2088"/>
          </w:tcPr>
          <w:p>
            <w:pPr>
              <w:jc w:val="center"/>
            </w:pPr>
            <w:r>
              <w:rPr>
                <w:rFonts w:ascii="Times New Roman" w:hAnsi="Times New Roman"/>
                <w:b/>
                <w:i w:val="0"/>
                <w:color w:val="000000"/>
                <w:sz w:val="18"/>
              </w:rPr>
              <w:t>+8.98%</w:t>
            </w:r>
          </w:p>
        </w:tc>
      </w:tr>
    </w:tbl>
    <w:p>
      <w:pPr>
        <w:spacing w:before="80" w:after="160"/>
        <w:jc w:val="center"/>
      </w:pPr>
      <w:r>
        <w:rPr>
          <w:rFonts w:ascii="Times New Roman" w:hAnsi="Times New Roman"/>
          <w:b/>
          <w:i w:val="0"/>
          <w:color w:val="000000"/>
          <w:sz w:val="16"/>
        </w:rPr>
        <w:t>TABLE II. Ablation Study of Proposed Architecture</w:t>
      </w:r>
    </w:p>
    <w:p>
      <w:pPr>
        <w:spacing w:line="252" w:lineRule="auto" w:after="80"/>
        <w:ind w:firstLine="216"/>
        <w:jc w:val="both"/>
      </w:pPr>
      <w:r>
        <w:rPr>
          <w:rFonts w:ascii="Times New Roman" w:hAnsi="Times New Roman"/>
          <w:b w:val="0"/>
          <w:i w:val="0"/>
          <w:color w:val="000000"/>
          <w:sz w:val="20"/>
        </w:rPr>
        <w:t>The ablation results demonstrate two major findings: First, upgrading static word embeddings to BERT contextual embeddings while keeping the Bi-LSTM classifier head constant results in a huge performance jump, raising the F1-score from 80.46% to 89.44% (+8.98% gain). This is because the context-aware embeddings dynamically represent words based on the surrounding text, allowing the model to recognize when standard words are used in a deceptive context. Second, upgrading the linear classifier head of standalone BERT to a sequential Bi-LSTM classifier head preserves structural sequence context.</w:t>
      </w:r>
    </w:p>
    <w:p>
      <w:pPr>
        <w:keepNext/>
        <w:spacing w:before="200" w:after="80"/>
        <w:jc w:val="left"/>
      </w:pPr>
      <w:r>
        <w:rPr>
          <w:rFonts w:ascii="Times New Roman" w:hAnsi="Times New Roman"/>
          <w:b w:val="0"/>
          <w:i/>
          <w:color w:val="000000"/>
          <w:sz w:val="20"/>
        </w:rPr>
        <w:t>C. Cross-Domain Generalization Analysis</w:t>
      </w:r>
    </w:p>
    <w:p>
      <w:pPr>
        <w:spacing w:line="252" w:lineRule="auto" w:after="8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BERT-BiLSTM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200" w:after="80"/>
        <w:jc w:val="left"/>
      </w:pPr>
      <w:r>
        <w:rPr>
          <w:rFonts w:ascii="Times New Roman" w:hAnsi="Times New Roman"/>
          <w:b w:val="0"/>
          <w:i/>
          <w:color w:val="000000"/>
          <w:sz w:val="20"/>
        </w:rPr>
        <w:t>D. Statistical Significance Testing</w:t>
      </w:r>
    </w:p>
    <w:p>
      <w:pPr>
        <w:spacing w:line="252" w:lineRule="auto" w:after="80"/>
        <w:ind w:firstLine="216"/>
        <w:jc w:val="both"/>
      </w:pPr>
      <w:r>
        <w:rPr>
          <w:rFonts w:ascii="Times New Roman" w:hAnsi="Times New Roman"/>
          <w:b w:val="0"/>
          <w:i w:val="0"/>
          <w:color w:val="000000"/>
          <w:sz w:val="20"/>
        </w:rPr>
        <w:t>To prove that the improvement of our proposed models is statistically meaningful and not a result of random variation during train/test splits, we perform a McNemar statistical significance test. McNemar's test is specifically suited for comparing paired binary classification predictions on a test set. The test evaluates the contingency table of disagreements between the two models. Our test yields a chi-squared value of 14.22 with a p-value of 0.00016. Since the p-value is far below the standard significance threshold (alpha = 0.01), we reject the null hypothesis, concluding that the performance improvement is statistically significant.</w:t>
      </w:r>
    </w:p>
    <w:p>
      <w:pPr>
        <w:keepNext/>
        <w:spacing w:before="200" w:after="80"/>
        <w:jc w:val="left"/>
      </w:pPr>
      <w:r>
        <w:rPr>
          <w:rFonts w:ascii="Times New Roman" w:hAnsi="Times New Roman"/>
          <w:b w:val="0"/>
          <w:i/>
          <w:color w:val="000000"/>
          <w:sz w:val="20"/>
        </w:rPr>
        <w:t>E.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F.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hybrid BERT-BiLSTM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 hybrid BERT-BiLSTM framework for online recruitment fraud detection. By combining a transformer backbone with a sequential recurrent network, our model extracts contextual features while preserving sequence dependencies. Evaluated on the EMSCAD dataset, our model achieves a macro F1-score of 94.00% and a Class 1 F1-score of 89.44%.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