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An Explainable and Sequence-Preserving BERT-BiLSTM Framework for</w:t>
        <w:br/>
        <w:t>Online Recruitment Fraud Detection</w:t>
      </w:r>
    </w:p>
    <w:p>
      <w:pPr>
        <w:spacing w:after="360"/>
        <w:jc w:val="center"/>
      </w:pPr>
      <w:r>
        <w:rPr>
          <w:rFonts w:ascii="Times New Roman" w:hAnsi="Times New Roman"/>
          <w:b w:val="0"/>
          <w:i w:val="0"/>
          <w:color w:val="000000"/>
          <w:sz w:val="22"/>
        </w:rPr>
        <w:t>Akhilesh</w:t>
        <w:br/>
        <w:t>Department of Computer Science and Engineering</w:t>
        <w:br/>
        <w:t>M.Sc. (Data Science)</w:t>
        <w:br/>
        <w:t>India</w:t>
        <w:br/>
        <w:t>email@example.com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discard sequence details by relying on static features or single representation vectors. This research presents an explainable, sequence-preserving hybrid model combining Bidirectional Encoder Representations from Transformers (BERT) and Bidirectional Long Short-Term Memory (Bi-LSTM). The model extracts contextual representations using a fine-tuned bert-base-uncased encoder, which are then passed to a 2-layer Bi-LSTM layer to retain sequential semantics. We implement a class-weighted binary cross-entropy loss function to handle severe label imbalance. Crucially, we incorporate SHAP (SHapley Additive exPlanations) to extract token-level visual attributions, addressing the black-box limitation of deep classifiers. Tested on the EMSCAD dataset, the proposed model achieves a classification accuracy of 98.91%, a Class 1 (Fraudulent) F1-score of 88.22%, a macro F1-score of 93.82%, and a ROC-AUC of 98.75%. This configuration provides a stable and interpretable classification pipeline for recruitment board deployment.</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Explainable AI, SHAP.</w:t>
      </w:r>
    </w:p>
    <w:p>
      <w:pPr>
        <w:keepNext/>
        <w:spacing w:before="28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8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Bi-LSTMs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8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BERT utilizes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act as black boxes, which prevents developers from explaining </w:t>
      </w:r>
      <w:r>
        <w:rPr>
          <w:rFonts w:ascii="Times New Roman" w:hAnsi="Times New Roman"/>
          <w:b w:val="0"/>
          <w:i/>
          <w:color w:val="000000"/>
          <w:sz w:val="20"/>
        </w:rPr>
        <w:t>why</w:t>
      </w:r>
      <w:r>
        <w:rPr>
          <w:rFonts w:ascii="Times New Roman" w:hAnsi="Times New Roman"/>
          <w:b w:val="0"/>
          <w:i w:val="0"/>
          <w:color w:val="000000"/>
          <w:sz w:val="20"/>
        </w:rPr>
        <w:t xml:space="preserve"> a particular listing was flagged as fraudulent. This is a major barrier to deploying these systems in production recruitment platforms.</w:t>
      </w:r>
    </w:p>
    <w:p>
      <w:pPr>
        <w:spacing w:line="252" w:lineRule="auto" w:after="8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model. Our framework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error analyses to verify its performance.</w:t>
      </w:r>
    </w:p>
    <w:p>
      <w:pPr>
        <w:spacing w:line="252" w:lineRule="auto" w:after="8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 sequence-preserving BERT-BiLSTM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8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20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20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80"/>
        <w:ind w:firstLine="216"/>
        <w:jc w:val="both"/>
      </w:pPr>
      <w:r>
        <w:rPr>
          <w:rFonts w:ascii="Times New Roman" w:hAnsi="Times New Roman"/>
          <w:b w:val="0"/>
          <w:i w:val="0"/>
          <w:color w:val="000000"/>
          <w:sz w:val="20"/>
        </w:rPr>
        <w:t xml:space="preserve">More recently, hybrid frameworks have been explored. Srilakshmi et al.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and Varshitha et al. </w:t>
      </w:r>
      <w:hyperlink w:anchor="ref_8">
        <w:r>
          <w:rPr>
            <w:rFonts w:ascii="Times New Roman" w:hAnsi="Times New Roman"/>
            <w:sz w:val="20"/>
            <w:u w:val="single"/>
            <w:color w:val="0000FF"/>
          </w:rPr>
          <w:t>[8]</w:t>
        </w:r>
      </w:hyperlink>
      <w:r>
        <w:rPr>
          <w:rFonts w:ascii="Times New Roman" w:hAnsi="Times New Roman"/>
          <w:b w:val="0"/>
          <w:i w:val="0"/>
          <w:color w:val="000000"/>
          <w:sz w:val="20"/>
        </w:rPr>
        <w:t xml:space="preserve"> proposed architectures combining BERT/RoBERTa with a 2D Convolutional Neural Network (CNN2D) classifier, using oversampling methods to mitigate dataset imbalance. While CNN2D models excel at capturing local spatial patterns, they are less suited than Bi-LSTMs for modeling the continuous sequential and temporal dependencies of long textual job advertisements. 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8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hybrid BERT-BiLSTM framework consists of four main steps: (A) Robust Concatenation, (B) BERT Embedding Extraction, (C) Bi-LSTM Classification, and (D) SHAP Explainability. Figure 1 shows the architecture of our system.</w:t>
      </w:r>
    </w:p>
    <w:p>
      <w:pPr>
        <w:spacing w:before="160" w:after="80"/>
        <w:jc w:val="center"/>
      </w:pPr>
      <w:r>
        <w:drawing>
          <wp:inline xmlns:a="http://schemas.openxmlformats.org/drawingml/2006/main" xmlns:pic="http://schemas.openxmlformats.org/drawingml/2006/picture">
            <wp:extent cx="2926080" cy="489663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926080" cy="4896638"/>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Hybrid BERT-BiLSTM framework.</w:t>
      </w:r>
    </w:p>
    <w:p>
      <w:pPr>
        <w:keepNext/>
        <w:spacing w:before="200" w:after="80"/>
        <w:jc w:val="left"/>
      </w:pPr>
      <w:r>
        <w:rPr>
          <w:rFonts w:ascii="Times New Roman" w:hAnsi="Times New Roman"/>
          <w:b w:val="0"/>
          <w:i/>
          <w:color w:val="000000"/>
          <w:sz w:val="20"/>
        </w:rPr>
        <w:t>A. Robust Concatenation</w:t>
      </w:r>
    </w:p>
    <w:p>
      <w:pPr>
        <w:spacing w:line="252" w:lineRule="auto" w:after="8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120" w:after="12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200" w:after="80"/>
        <w:jc w:val="left"/>
      </w:pPr>
      <w:r>
        <w:rPr>
          <w:rFonts w:ascii="Times New Roman" w:hAnsi="Times New Roman"/>
          <w:b w:val="0"/>
          <w:i/>
          <w:color w:val="000000"/>
          <w:sz w:val="20"/>
        </w:rPr>
        <w:t>B. BERT Embedding Extraction</w:t>
      </w:r>
    </w:p>
    <w:p>
      <w:pPr>
        <w:spacing w:line="252" w:lineRule="auto" w:after="8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120" w:after="120"/>
        <w:jc w:val="center"/>
      </w:pPr>
      <w:r>
        <w:rPr>
          <w:rFonts w:ascii="Times New Roman" w:hAnsi="Times New Roman"/>
          <w:b w:val="0"/>
          <w:i/>
          <w:color w:val="000000"/>
          <w:sz w:val="20"/>
        </w:rPr>
        <w:t>H = \text{BERT}(I, A) \in \mathbb{R}^{B \times L \times D}</w:t>
        <w:tab/>
        <w:tab/>
      </w:r>
      <w:r>
        <w:rPr>
          <w:rFonts w:ascii="Times New Roman" w:hAnsi="Times New Roman"/>
          <w:b w:val="0"/>
          <w:i w:val="0"/>
          <w:color w:val="000000"/>
          <w:sz w:val="20"/>
        </w:rPr>
        <w:t>(2)</w:t>
      </w:r>
    </w:p>
    <w:p>
      <w:pPr>
        <w:spacing w:line="252" w:lineRule="auto" w:after="8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200" w:after="80"/>
        <w:jc w:val="left"/>
      </w:pPr>
      <w:r>
        <w:rPr>
          <w:rFonts w:ascii="Times New Roman" w:hAnsi="Times New Roman"/>
          <w:b w:val="0"/>
          <w:i/>
          <w:color w:val="000000"/>
          <w:sz w:val="20"/>
        </w:rPr>
        <w:t>C. Bi-LSTM Sequential Classification</w:t>
      </w:r>
    </w:p>
    <w:p>
      <w:pPr>
        <w:spacing w:line="252" w:lineRule="auto" w:after="8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120" w:after="120"/>
        <w:jc w:val="center"/>
      </w:pPr>
      <w:r>
        <w:rPr>
          <w:rFonts w:ascii="Times New Roman" w:hAnsi="Times New Roman"/>
          <w:b w:val="0"/>
          <w:i/>
          <w:color w:val="000000"/>
          <w:sz w:val="20"/>
        </w:rPr>
        <w:t>h_{t, fwd} = \text{LSTM}_{fwd}(H_t, h_{t-1, fwd})</w:t>
        <w:tab/>
        <w:tab/>
      </w:r>
      <w:r>
        <w:rPr>
          <w:rFonts w:ascii="Times New Roman" w:hAnsi="Times New Roman"/>
          <w:b w:val="0"/>
          <w:i w:val="0"/>
          <w:color w:val="000000"/>
          <w:sz w:val="20"/>
        </w:rPr>
        <w:t>(3)</w:t>
      </w:r>
    </w:p>
    <w:p>
      <w:pPr>
        <w:spacing w:before="120" w:after="120"/>
        <w:jc w:val="center"/>
      </w:pPr>
      <w:r>
        <w:rPr>
          <w:rFonts w:ascii="Times New Roman" w:hAnsi="Times New Roman"/>
          <w:b w:val="0"/>
          <w:i/>
          <w:color w:val="000000"/>
          <w:sz w:val="20"/>
        </w:rPr>
        <w:t>h_{t, bwd} = \text{LSTM}_{bwd}(H_t, h_{t+1, bwd})</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For each token t, the directional hidden states are concatenated to form the complete state:</w:t>
      </w:r>
    </w:p>
    <w:p>
      <w:pPr>
        <w:spacing w:before="120" w:after="120"/>
        <w:jc w:val="center"/>
      </w:pPr>
      <w:r>
        <w:rPr>
          <w:rFonts w:ascii="Times New Roman" w:hAnsi="Times New Roman"/>
          <w:b w:val="0"/>
          <w:i/>
          <w:color w:val="000000"/>
          <w:sz w:val="20"/>
        </w:rPr>
        <w:t>h_t = [h_{t, fwd} \mathbin{\Vert} h_{t, bwd}] \in \mathbb{R}^{2 \cdot D_{lstm}}</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120" w:after="120"/>
        <w:jc w:val="center"/>
      </w:pPr>
      <w:r>
        <w:rPr>
          <w:rFonts w:ascii="Times New Roman" w:hAnsi="Times New Roman"/>
          <w:b w:val="0"/>
          <w:i/>
          <w:color w:val="000000"/>
          <w:sz w:val="20"/>
        </w:rPr>
        <w:t>Z_{pooled} = [\text{MaxPool}(Y) \mathbin{\Vert} \text{AvgPool}(Y)] \in \mathbb{R}^{4 \cdot D_{lstm}}</w:t>
        <w:tab/>
        <w:tab/>
      </w:r>
      <w:r>
        <w:rPr>
          <w:rFonts w:ascii="Times New Roman" w:hAnsi="Times New Roman"/>
          <w:b w:val="0"/>
          <w:i w:val="0"/>
          <w:color w:val="000000"/>
          <w:sz w:val="20"/>
        </w:rPr>
        <w:t>(6)</w:t>
      </w:r>
    </w:p>
    <w:p>
      <w:pPr>
        <w:spacing w:line="252" w:lineRule="auto" w:after="80"/>
        <w:ind w:firstLine="216"/>
        <w:jc w:val="both"/>
      </w:pPr>
      <w:r>
        <w:rPr>
          <w:rFonts w:ascii="Times New Roman" w:hAnsi="Times New Roman"/>
          <w:b w:val="0"/>
          <w:i w:val="0"/>
          <w:color w:val="000000"/>
          <w:sz w:val="20"/>
        </w:rPr>
        <w:t>This representation is passed to a dense dropout classifier to compute the class logits:</w:t>
      </w:r>
    </w:p>
    <w:p>
      <w:pPr>
        <w:spacing w:before="120" w:after="120"/>
        <w:jc w:val="center"/>
      </w:pPr>
      <w:r>
        <w:rPr>
          <w:rFonts w:ascii="Times New Roman" w:hAnsi="Times New Roman"/>
          <w:b w:val="0"/>
          <w:i/>
          <w:color w:val="000000"/>
          <w:sz w:val="20"/>
        </w:rPr>
        <w:t>\hat{y} = \text{Linear}(\text{ReLU}(\text{Dropout}(\text{Linear}(Z_{pooled}))))</w:t>
        <w:tab/>
        <w:tab/>
      </w:r>
      <w:r>
        <w:rPr>
          <w:rFonts w:ascii="Times New Roman" w:hAnsi="Times New Roman"/>
          <w:b w:val="0"/>
          <w:i w:val="0"/>
          <w:color w:val="000000"/>
          <w:sz w:val="20"/>
        </w:rPr>
        <w:t>(7)</w:t>
      </w:r>
    </w:p>
    <w:p>
      <w:pPr>
        <w:spacing w:line="252" w:lineRule="auto" w:after="8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120" w:after="12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(8)</w:t>
      </w:r>
    </w:p>
    <w:p>
      <w:pPr>
        <w:spacing w:line="252" w:lineRule="auto" w:after="80"/>
        <w:ind w:firstLine="216"/>
        <w:jc w:val="both"/>
      </w:pPr>
      <w:r>
        <w:rPr>
          <w:rFonts w:ascii="Times New Roman" w:hAnsi="Times New Roman"/>
          <w:b w:val="0"/>
          <w:i w:val="0"/>
          <w:color w:val="000000"/>
          <w:sz w:val="20"/>
        </w:rPr>
        <w:t>where we set $w_{pos} = 3.5$ to penalize false negatives and improve recall.</w:t>
      </w:r>
    </w:p>
    <w:p>
      <w:pPr>
        <w:keepNext/>
        <w:spacing w:before="200" w:after="80"/>
        <w:jc w:val="left"/>
      </w:pPr>
      <w:r>
        <w:rPr>
          <w:rFonts w:ascii="Times New Roman" w:hAnsi="Times New Roman"/>
          <w:b w:val="0"/>
          <w:i/>
          <w:color w:val="000000"/>
          <w:sz w:val="20"/>
        </w:rPr>
        <w:t>D. Explainable AI using SHAP</w:t>
      </w:r>
    </w:p>
    <w:p>
      <w:pPr>
        <w:spacing w:line="252" w:lineRule="auto" w:after="8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120" w:after="12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8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80" w:after="120"/>
        <w:jc w:val="center"/>
      </w:pPr>
      <w:r>
        <w:rPr>
          <w:rFonts w:ascii="Times New Roman" w:hAnsi="Times New Roman"/>
          <w:b/>
          <w:i w:val="0"/>
          <w:color w:val="000000"/>
          <w:sz w:val="20"/>
        </w:rPr>
        <w:t>IV.  EXPERIMENTAL SETUP</w:t>
      </w:r>
    </w:p>
    <w:p>
      <w:pPr>
        <w:keepNext/>
        <w:spacing w:before="200" w:after="80"/>
        <w:jc w:val="left"/>
      </w:pPr>
      <w:r>
        <w:rPr>
          <w:rFonts w:ascii="Times New Roman" w:hAnsi="Times New Roman"/>
          <w:b w:val="0"/>
          <w:i/>
          <w:color w:val="000000"/>
          <w:sz w:val="20"/>
        </w:rPr>
        <w:t>A. Dataset</w:t>
      </w:r>
    </w:p>
    <w:p>
      <w:pPr>
        <w:spacing w:line="252" w:lineRule="auto" w:after="8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200" w:after="80"/>
        <w:jc w:val="left"/>
      </w:pPr>
      <w:r>
        <w:rPr>
          <w:rFonts w:ascii="Times New Roman" w:hAnsi="Times New Roman"/>
          <w:b w:val="0"/>
          <w:i/>
          <w:color w:val="000000"/>
          <w:sz w:val="20"/>
        </w:rPr>
        <w:t>B. Hardware and Hyperparameters</w:t>
      </w:r>
    </w:p>
    <w:p>
      <w:pPr>
        <w:spacing w:line="252" w:lineRule="auto" w:after="8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 This discriminative setup prevents catastrophic forgetting in BERT.</w:t>
      </w:r>
    </w:p>
    <w:p>
      <w:pPr>
        <w:keepNext/>
        <w:spacing w:before="20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(3) Standard Bi-LSTM, (4) Standalone BERT Classifier (Fraud-BERT replica), and (5) Standalone RoBERTa Classifier.</w:t>
      </w:r>
    </w:p>
    <w:p>
      <w:pPr>
        <w:keepNext/>
        <w:spacing w:before="280" w:after="120"/>
        <w:jc w:val="center"/>
      </w:pPr>
      <w:r>
        <w:rPr>
          <w:rFonts w:ascii="Times New Roman" w:hAnsi="Times New Roman"/>
          <w:b/>
          <w:i w:val="0"/>
          <w:color w:val="000000"/>
          <w:sz w:val="20"/>
        </w:rPr>
        <w:t>V.  RESULTS AND DISCUSSION</w:t>
      </w:r>
    </w:p>
    <w:p>
      <w:pPr>
        <w:keepNext/>
        <w:spacing w:before="20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performance of all models on the test set is summarized in Table I. We report both Class 1 (Fraudulent) metrics and Macro-average metrics to allow a direct comparison with SOTA baseline papers.</w:t>
      </w:r>
    </w:p>
    <w:tbl>
      <w:tblPr>
        <w:tblStyle w:val="LightShading-Accent1"/>
        <w:tblW w:type="auto" w:w="0"/>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1160"/>
          </w:tcPr>
          <w:p>
            <w:pPr>
              <w:jc w:val="center"/>
            </w:pPr>
            <w:r>
              <w:rPr>
                <w:rFonts w:ascii="Times New Roman" w:hAnsi="Times New Roman"/>
                <w:b/>
                <w:i w:val="0"/>
                <w:color w:val="000000"/>
                <w:sz w:val="16"/>
              </w:rPr>
              <w:t>Model</w:t>
            </w:r>
          </w:p>
        </w:tc>
        <w:tc>
          <w:tcPr>
            <w:tcW w:type="dxa" w:w="1160"/>
          </w:tcPr>
          <w:p>
            <w:pPr>
              <w:jc w:val="center"/>
            </w:pPr>
            <w:r>
              <w:rPr>
                <w:rFonts w:ascii="Times New Roman" w:hAnsi="Times New Roman"/>
                <w:b/>
                <w:i w:val="0"/>
                <w:color w:val="000000"/>
                <w:sz w:val="16"/>
              </w:rPr>
              <w:t>Acc</w:t>
            </w:r>
          </w:p>
        </w:tc>
        <w:tc>
          <w:tcPr>
            <w:tcW w:type="dxa" w:w="1160"/>
          </w:tcPr>
          <w:p>
            <w:pPr>
              <w:jc w:val="center"/>
            </w:pPr>
            <w:r>
              <w:rPr>
                <w:rFonts w:ascii="Times New Roman" w:hAnsi="Times New Roman"/>
                <w:b/>
                <w:i w:val="0"/>
                <w:color w:val="000000"/>
                <w:sz w:val="16"/>
              </w:rPr>
              <w:t>Prec(1)</w:t>
            </w:r>
          </w:p>
        </w:tc>
        <w:tc>
          <w:tcPr>
            <w:tcW w:type="dxa" w:w="1160"/>
          </w:tcPr>
          <w:p>
            <w:pPr>
              <w:jc w:val="center"/>
            </w:pPr>
            <w:r>
              <w:rPr>
                <w:rFonts w:ascii="Times New Roman" w:hAnsi="Times New Roman"/>
                <w:b/>
                <w:i w:val="0"/>
                <w:color w:val="000000"/>
                <w:sz w:val="16"/>
              </w:rPr>
              <w:t>Rec(1)</w:t>
            </w:r>
          </w:p>
        </w:tc>
        <w:tc>
          <w:tcPr>
            <w:tcW w:type="dxa" w:w="1160"/>
          </w:tcPr>
          <w:p>
            <w:pPr>
              <w:jc w:val="center"/>
            </w:pPr>
            <w:r>
              <w:rPr>
                <w:rFonts w:ascii="Times New Roman" w:hAnsi="Times New Roman"/>
                <w:b/>
                <w:i w:val="0"/>
                <w:color w:val="000000"/>
                <w:sz w:val="16"/>
              </w:rPr>
              <w:t>F1(1)</w:t>
            </w:r>
          </w:p>
        </w:tc>
        <w:tc>
          <w:tcPr>
            <w:tcW w:type="dxa" w:w="1160"/>
          </w:tcPr>
          <w:p>
            <w:pPr>
              <w:jc w:val="center"/>
            </w:pPr>
            <w:r>
              <w:rPr>
                <w:rFonts w:ascii="Times New Roman" w:hAnsi="Times New Roman"/>
                <w:b/>
                <w:i w:val="0"/>
                <w:color w:val="000000"/>
                <w:sz w:val="16"/>
              </w:rPr>
              <w:t>AUC</w:t>
            </w:r>
          </w:p>
        </w:tc>
        <w:tc>
          <w:tcPr>
            <w:tcW w:type="dxa" w:w="1160"/>
          </w:tcPr>
          <w:p>
            <w:pPr>
              <w:jc w:val="center"/>
            </w:pPr>
            <w:r>
              <w:rPr>
                <w:rFonts w:ascii="Times New Roman" w:hAnsi="Times New Roman"/>
                <w:b/>
                <w:i w:val="0"/>
                <w:color w:val="000000"/>
                <w:sz w:val="16"/>
              </w:rPr>
              <w:t>Macro P</w:t>
            </w:r>
          </w:p>
        </w:tc>
        <w:tc>
          <w:tcPr>
            <w:tcW w:type="dxa" w:w="1160"/>
          </w:tcPr>
          <w:p>
            <w:pPr>
              <w:jc w:val="center"/>
            </w:pPr>
            <w:r>
              <w:rPr>
                <w:rFonts w:ascii="Times New Roman" w:hAnsi="Times New Roman"/>
                <w:b/>
                <w:i w:val="0"/>
                <w:color w:val="000000"/>
                <w:sz w:val="16"/>
              </w:rPr>
              <w:t>Macro R</w:t>
            </w:r>
          </w:p>
        </w:tc>
        <w:tc>
          <w:tcPr>
            <w:tcW w:type="dxa" w:w="1160"/>
          </w:tcPr>
          <w:p>
            <w:pPr>
              <w:jc w:val="center"/>
            </w:pPr>
            <w:r>
              <w:rPr>
                <w:rFonts w:ascii="Times New Roman" w:hAnsi="Times New Roman"/>
                <w:b/>
                <w:i w:val="0"/>
                <w:color w:val="000000"/>
                <w:sz w:val="16"/>
              </w:rPr>
              <w:t>Macro F1</w:t>
            </w:r>
          </w:p>
        </w:tc>
      </w:tr>
      <w:tr>
        <w:tc>
          <w:tcPr>
            <w:tcW w:type="dxa" w:w="1160"/>
          </w:tcPr>
          <w:p>
            <w:pPr>
              <w:jc w:val="left"/>
            </w:pPr>
            <w:r>
              <w:rPr>
                <w:rFonts w:ascii="Times New Roman" w:hAnsi="Times New Roman"/>
                <w:b w:val="0"/>
                <w:i w:val="0"/>
                <w:color w:val="000000"/>
                <w:sz w:val="16"/>
              </w:rPr>
              <w:t>Logistic Regression</w:t>
            </w:r>
          </w:p>
        </w:tc>
        <w:tc>
          <w:tcPr>
            <w:tcW w:type="dxa" w:w="1160"/>
          </w:tcPr>
          <w:p>
            <w:pPr>
              <w:jc w:val="center"/>
            </w:pPr>
            <w:r>
              <w:rPr>
                <w:rFonts w:ascii="Times New Roman" w:hAnsi="Times New Roman"/>
                <w:b w:val="0"/>
                <w:i w:val="0"/>
                <w:color w:val="000000"/>
                <w:sz w:val="16"/>
              </w:rPr>
              <w:t>96.84%</w:t>
            </w:r>
          </w:p>
        </w:tc>
        <w:tc>
          <w:tcPr>
            <w:tcW w:type="dxa" w:w="1160"/>
          </w:tcPr>
          <w:p>
            <w:pPr>
              <w:jc w:val="center"/>
            </w:pPr>
            <w:r>
              <w:rPr>
                <w:rFonts w:ascii="Times New Roman" w:hAnsi="Times New Roman"/>
                <w:b w:val="0"/>
                <w:i w:val="0"/>
                <w:color w:val="000000"/>
                <w:sz w:val="16"/>
              </w:rPr>
              <w:t>62.10%</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73.16%</w:t>
            </w:r>
          </w:p>
        </w:tc>
        <w:tc>
          <w:tcPr>
            <w:tcW w:type="dxa" w:w="1160"/>
          </w:tcPr>
          <w:p>
            <w:pPr>
              <w:jc w:val="center"/>
            </w:pPr>
            <w:r>
              <w:rPr>
                <w:rFonts w:ascii="Times New Roman" w:hAnsi="Times New Roman"/>
                <w:b w:val="0"/>
                <w:i w:val="0"/>
                <w:color w:val="000000"/>
                <w:sz w:val="16"/>
              </w:rPr>
              <w:t>98.64%</w:t>
            </w:r>
          </w:p>
        </w:tc>
        <w:tc>
          <w:tcPr>
            <w:tcW w:type="dxa" w:w="1160"/>
          </w:tcPr>
          <w:p>
            <w:pPr>
              <w:jc w:val="center"/>
            </w:pPr>
            <w:r>
              <w:rPr>
                <w:rFonts w:ascii="Times New Roman" w:hAnsi="Times New Roman"/>
                <w:b w:val="0"/>
                <w:i w:val="0"/>
                <w:color w:val="000000"/>
                <w:sz w:val="16"/>
              </w:rPr>
              <w:t>80.50%</w:t>
            </w:r>
          </w:p>
        </w:tc>
        <w:tc>
          <w:tcPr>
            <w:tcW w:type="dxa" w:w="1160"/>
          </w:tcPr>
          <w:p>
            <w:pPr>
              <w:jc w:val="center"/>
            </w:pPr>
            <w:r>
              <w:rPr>
                <w:rFonts w:ascii="Times New Roman" w:hAnsi="Times New Roman"/>
                <w:b w:val="0"/>
                <w:i w:val="0"/>
                <w:color w:val="000000"/>
                <w:sz w:val="16"/>
              </w:rPr>
              <w:t>93.00%</w:t>
            </w:r>
          </w:p>
        </w:tc>
        <w:tc>
          <w:tcPr>
            <w:tcW w:type="dxa" w:w="1160"/>
          </w:tcPr>
          <w:p>
            <w:pPr>
              <w:jc w:val="center"/>
            </w:pPr>
            <w:r>
              <w:rPr>
                <w:rFonts w:ascii="Times New Roman" w:hAnsi="Times New Roman"/>
                <w:b w:val="0"/>
                <w:i w:val="0"/>
                <w:color w:val="000000"/>
                <w:sz w:val="16"/>
              </w:rPr>
              <w:t>85.50%</w:t>
            </w:r>
          </w:p>
        </w:tc>
      </w:tr>
      <w:tr>
        <w:tc>
          <w:tcPr>
            <w:tcW w:type="dxa" w:w="1160"/>
          </w:tcPr>
          <w:p>
            <w:pPr>
              <w:jc w:val="left"/>
            </w:pPr>
            <w:r>
              <w:rPr>
                <w:rFonts w:ascii="Times New Roman" w:hAnsi="Times New Roman"/>
                <w:b w:val="0"/>
                <w:i w:val="0"/>
                <w:color w:val="000000"/>
                <w:sz w:val="16"/>
              </w:rPr>
              <w:t>Random Forest</w:t>
            </w:r>
          </w:p>
        </w:tc>
        <w:tc>
          <w:tcPr>
            <w:tcW w:type="dxa" w:w="1160"/>
          </w:tcPr>
          <w:p>
            <w:pPr>
              <w:jc w:val="center"/>
            </w:pPr>
            <w:r>
              <w:rPr>
                <w:rFonts w:ascii="Times New Roman" w:hAnsi="Times New Roman"/>
                <w:b w:val="0"/>
                <w:i w:val="0"/>
                <w:color w:val="000000"/>
                <w:sz w:val="16"/>
              </w:rPr>
              <w:t>97.85%</w:t>
            </w:r>
          </w:p>
        </w:tc>
        <w:tc>
          <w:tcPr>
            <w:tcW w:type="dxa" w:w="1160"/>
          </w:tcPr>
          <w:p>
            <w:pPr>
              <w:jc w:val="center"/>
            </w:pPr>
            <w:r>
              <w:rPr>
                <w:rFonts w:ascii="Times New Roman" w:hAnsi="Times New Roman"/>
                <w:b w:val="0"/>
                <w:i w:val="0"/>
                <w:color w:val="000000"/>
                <w:sz w:val="16"/>
              </w:rPr>
              <w:t>100.00%</w:t>
            </w:r>
          </w:p>
        </w:tc>
        <w:tc>
          <w:tcPr>
            <w:tcW w:type="dxa" w:w="1160"/>
          </w:tcPr>
          <w:p>
            <w:pPr>
              <w:jc w:val="center"/>
            </w:pPr>
            <w:r>
              <w:rPr>
                <w:rFonts w:ascii="Times New Roman" w:hAnsi="Times New Roman"/>
                <w:b w:val="0"/>
                <w:i w:val="0"/>
                <w:color w:val="000000"/>
                <w:sz w:val="16"/>
              </w:rPr>
              <w:t>55.49%</w:t>
            </w:r>
          </w:p>
        </w:tc>
        <w:tc>
          <w:tcPr>
            <w:tcW w:type="dxa" w:w="1160"/>
          </w:tcPr>
          <w:p>
            <w:pPr>
              <w:jc w:val="center"/>
            </w:pPr>
            <w:r>
              <w:rPr>
                <w:rFonts w:ascii="Times New Roman" w:hAnsi="Times New Roman"/>
                <w:b w:val="0"/>
                <w:i w:val="0"/>
                <w:color w:val="000000"/>
                <w:sz w:val="16"/>
              </w:rPr>
              <w:t>71.38%</w:t>
            </w:r>
          </w:p>
        </w:tc>
        <w:tc>
          <w:tcPr>
            <w:tcW w:type="dxa" w:w="1160"/>
          </w:tcPr>
          <w:p>
            <w:pPr>
              <w:jc w:val="center"/>
            </w:pPr>
            <w:r>
              <w:rPr>
                <w:rFonts w:ascii="Times New Roman" w:hAnsi="Times New Roman"/>
                <w:b w:val="0"/>
                <w:i w:val="0"/>
                <w:color w:val="000000"/>
                <w:sz w:val="16"/>
              </w:rPr>
              <w:t>98.87%</w:t>
            </w:r>
          </w:p>
        </w:tc>
        <w:tc>
          <w:tcPr>
            <w:tcW w:type="dxa" w:w="1160"/>
          </w:tcPr>
          <w:p>
            <w:pPr>
              <w:jc w:val="center"/>
            </w:pPr>
            <w:r>
              <w:rPr>
                <w:rFonts w:ascii="Times New Roman" w:hAnsi="Times New Roman"/>
                <w:b w:val="0"/>
                <w:i w:val="0"/>
                <w:color w:val="000000"/>
                <w:sz w:val="16"/>
              </w:rPr>
              <w:t>99.00%</w:t>
            </w:r>
          </w:p>
        </w:tc>
        <w:tc>
          <w:tcPr>
            <w:tcW w:type="dxa" w:w="1160"/>
          </w:tcPr>
          <w:p>
            <w:pPr>
              <w:jc w:val="center"/>
            </w:pPr>
            <w:r>
              <w:rPr>
                <w:rFonts w:ascii="Times New Roman" w:hAnsi="Times New Roman"/>
                <w:b w:val="0"/>
                <w:i w:val="0"/>
                <w:color w:val="000000"/>
                <w:sz w:val="16"/>
              </w:rPr>
              <w:t>77.74%</w:t>
            </w:r>
          </w:p>
        </w:tc>
        <w:tc>
          <w:tcPr>
            <w:tcW w:type="dxa" w:w="1160"/>
          </w:tcPr>
          <w:p>
            <w:pPr>
              <w:jc w:val="center"/>
            </w:pPr>
            <w:r>
              <w:rPr>
                <w:rFonts w:ascii="Times New Roman" w:hAnsi="Times New Roman"/>
                <w:b w:val="0"/>
                <w:i w:val="0"/>
                <w:color w:val="000000"/>
                <w:sz w:val="16"/>
              </w:rPr>
              <w:t>85.19%</w:t>
            </w:r>
          </w:p>
        </w:tc>
      </w:tr>
      <w:tr>
        <w:tc>
          <w:tcPr>
            <w:tcW w:type="dxa" w:w="1160"/>
          </w:tcPr>
          <w:p>
            <w:pPr>
              <w:jc w:val="left"/>
            </w:pPr>
            <w:r>
              <w:rPr>
                <w:rFonts w:ascii="Times New Roman" w:hAnsi="Times New Roman"/>
                <w:b w:val="0"/>
                <w:i w:val="0"/>
                <w:color w:val="000000"/>
                <w:sz w:val="16"/>
              </w:rPr>
              <w:t>Standard Bi-LSTM</w:t>
            </w:r>
          </w:p>
        </w:tc>
        <w:tc>
          <w:tcPr>
            <w:tcW w:type="dxa" w:w="1160"/>
          </w:tcPr>
          <w:p>
            <w:pPr>
              <w:jc w:val="center"/>
            </w:pPr>
            <w:r>
              <w:rPr>
                <w:rFonts w:ascii="Times New Roman" w:hAnsi="Times New Roman"/>
                <w:b w:val="0"/>
                <w:i w:val="0"/>
                <w:color w:val="000000"/>
                <w:sz w:val="16"/>
              </w:rPr>
              <w:t>98.12%</w:t>
            </w:r>
          </w:p>
        </w:tc>
        <w:tc>
          <w:tcPr>
            <w:tcW w:type="dxa" w:w="1160"/>
          </w:tcPr>
          <w:p>
            <w:pPr>
              <w:jc w:val="center"/>
            </w:pPr>
            <w:r>
              <w:rPr>
                <w:rFonts w:ascii="Times New Roman" w:hAnsi="Times New Roman"/>
                <w:b w:val="0"/>
                <w:i w:val="0"/>
                <w:color w:val="000000"/>
                <w:sz w:val="16"/>
              </w:rPr>
              <w:t>79.45%</w:t>
            </w:r>
          </w:p>
        </w:tc>
        <w:tc>
          <w:tcPr>
            <w:tcW w:type="dxa" w:w="1160"/>
          </w:tcPr>
          <w:p>
            <w:pPr>
              <w:jc w:val="center"/>
            </w:pPr>
            <w:r>
              <w:rPr>
                <w:rFonts w:ascii="Times New Roman" w:hAnsi="Times New Roman"/>
                <w:b w:val="0"/>
                <w:i w:val="0"/>
                <w:color w:val="000000"/>
                <w:sz w:val="16"/>
              </w:rPr>
              <w:t>81.50%</w:t>
            </w:r>
          </w:p>
        </w:tc>
        <w:tc>
          <w:tcPr>
            <w:tcW w:type="dxa" w:w="1160"/>
          </w:tcPr>
          <w:p>
            <w:pPr>
              <w:jc w:val="center"/>
            </w:pPr>
            <w:r>
              <w:rPr>
                <w:rFonts w:ascii="Times New Roman" w:hAnsi="Times New Roman"/>
                <w:b w:val="0"/>
                <w:i w:val="0"/>
                <w:color w:val="000000"/>
                <w:sz w:val="16"/>
              </w:rPr>
              <w:t>80.46%</w:t>
            </w:r>
          </w:p>
        </w:tc>
        <w:tc>
          <w:tcPr>
            <w:tcW w:type="dxa" w:w="1160"/>
          </w:tcPr>
          <w:p>
            <w:pPr>
              <w:jc w:val="center"/>
            </w:pPr>
            <w:r>
              <w:rPr>
                <w:rFonts w:ascii="Times New Roman" w:hAnsi="Times New Roman"/>
                <w:b w:val="0"/>
                <w:i w:val="0"/>
                <w:color w:val="000000"/>
                <w:sz w:val="16"/>
              </w:rPr>
              <w:t>97.20%</w:t>
            </w:r>
          </w:p>
        </w:tc>
        <w:tc>
          <w:tcPr>
            <w:tcW w:type="dxa" w:w="1160"/>
          </w:tcPr>
          <w:p>
            <w:pPr>
              <w:jc w:val="center"/>
            </w:pPr>
            <w:r>
              <w:rPr>
                <w:rFonts w:ascii="Times New Roman" w:hAnsi="Times New Roman"/>
                <w:b w:val="0"/>
                <w:i w:val="0"/>
                <w:color w:val="000000"/>
                <w:sz w:val="16"/>
              </w:rPr>
              <w:t>89.28%</w:t>
            </w:r>
          </w:p>
        </w:tc>
        <w:tc>
          <w:tcPr>
            <w:tcW w:type="dxa" w:w="1160"/>
          </w:tcPr>
          <w:p>
            <w:pPr>
              <w:jc w:val="center"/>
            </w:pPr>
            <w:r>
              <w:rPr>
                <w:rFonts w:ascii="Times New Roman" w:hAnsi="Times New Roman"/>
                <w:b w:val="0"/>
                <w:i w:val="0"/>
                <w:color w:val="000000"/>
                <w:sz w:val="16"/>
              </w:rPr>
              <w:t>90.48%</w:t>
            </w:r>
          </w:p>
        </w:tc>
        <w:tc>
          <w:tcPr>
            <w:tcW w:type="dxa" w:w="1160"/>
          </w:tcPr>
          <w:p>
            <w:pPr>
              <w:jc w:val="center"/>
            </w:pPr>
            <w:r>
              <w:rPr>
                <w:rFonts w:ascii="Times New Roman" w:hAnsi="Times New Roman"/>
                <w:b w:val="0"/>
                <w:i w:val="0"/>
                <w:color w:val="000000"/>
                <w:sz w:val="16"/>
              </w:rPr>
              <w:t>89.87%</w:t>
            </w:r>
          </w:p>
        </w:tc>
      </w:tr>
      <w:tr>
        <w:tc>
          <w:tcPr>
            <w:tcW w:type="dxa" w:w="1160"/>
          </w:tcPr>
          <w:p>
            <w:pPr>
              <w:jc w:val="left"/>
            </w:pPr>
            <w:r>
              <w:rPr>
                <w:rFonts w:ascii="Times New Roman" w:hAnsi="Times New Roman"/>
                <w:b w:val="0"/>
                <w:i w:val="0"/>
                <w:color w:val="000000"/>
                <w:sz w:val="16"/>
              </w:rPr>
              <w:t>Standalone BERT [1]</w:t>
            </w:r>
          </w:p>
        </w:tc>
        <w:tc>
          <w:tcPr>
            <w:tcW w:type="dxa" w:w="1160"/>
          </w:tcPr>
          <w:p>
            <w:pPr>
              <w:jc w:val="center"/>
            </w:pPr>
            <w:r>
              <w:rPr>
                <w:rFonts w:ascii="Times New Roman" w:hAnsi="Times New Roman"/>
                <w:b w:val="0"/>
                <w:i w:val="0"/>
                <w:color w:val="000000"/>
                <w:sz w:val="16"/>
              </w:rPr>
              <w:t>99.02%</w:t>
            </w:r>
          </w:p>
        </w:tc>
        <w:tc>
          <w:tcPr>
            <w:tcW w:type="dxa" w:w="1160"/>
          </w:tcPr>
          <w:p>
            <w:pPr>
              <w:jc w:val="center"/>
            </w:pPr>
            <w:r>
              <w:rPr>
                <w:rFonts w:ascii="Times New Roman" w:hAnsi="Times New Roman"/>
                <w:b w:val="0"/>
                <w:i w:val="0"/>
                <w:color w:val="000000"/>
                <w:sz w:val="16"/>
              </w:rPr>
              <w:t>91.57%</w:t>
            </w:r>
          </w:p>
        </w:tc>
        <w:tc>
          <w:tcPr>
            <w:tcW w:type="dxa" w:w="1160"/>
          </w:tcPr>
          <w:p>
            <w:pPr>
              <w:jc w:val="center"/>
            </w:pPr>
            <w:r>
              <w:rPr>
                <w:rFonts w:ascii="Times New Roman" w:hAnsi="Times New Roman"/>
                <w:b w:val="0"/>
                <w:i w:val="0"/>
                <w:color w:val="000000"/>
                <w:sz w:val="16"/>
              </w:rPr>
              <w:t>87.86%</w:t>
            </w:r>
          </w:p>
        </w:tc>
        <w:tc>
          <w:tcPr>
            <w:tcW w:type="dxa" w:w="1160"/>
          </w:tcPr>
          <w:p>
            <w:pPr>
              <w:jc w:val="center"/>
            </w:pPr>
            <w:r>
              <w:rPr>
                <w:rFonts w:ascii="Times New Roman" w:hAnsi="Times New Roman"/>
                <w:b w:val="0"/>
                <w:i w:val="0"/>
                <w:color w:val="000000"/>
                <w:sz w:val="16"/>
              </w:rPr>
              <w:t>89.68%</w:t>
            </w:r>
          </w:p>
        </w:tc>
        <w:tc>
          <w:tcPr>
            <w:tcW w:type="dxa" w:w="1160"/>
          </w:tcPr>
          <w:p>
            <w:pPr>
              <w:jc w:val="center"/>
            </w:pPr>
            <w:r>
              <w:rPr>
                <w:rFonts w:ascii="Times New Roman" w:hAnsi="Times New Roman"/>
                <w:b w:val="0"/>
                <w:i w:val="0"/>
                <w:color w:val="000000"/>
                <w:sz w:val="16"/>
              </w:rPr>
              <w:t>99.22%</w:t>
            </w:r>
          </w:p>
        </w:tc>
        <w:tc>
          <w:tcPr>
            <w:tcW w:type="dxa" w:w="1160"/>
          </w:tcPr>
          <w:p>
            <w:pPr>
              <w:jc w:val="center"/>
            </w:pPr>
            <w:r>
              <w:rPr>
                <w:rFonts w:ascii="Times New Roman" w:hAnsi="Times New Roman"/>
                <w:b w:val="0"/>
                <w:i w:val="0"/>
                <w:color w:val="000000"/>
                <w:sz w:val="16"/>
              </w:rPr>
              <w:t>95.48%</w:t>
            </w:r>
          </w:p>
        </w:tc>
        <w:tc>
          <w:tcPr>
            <w:tcW w:type="dxa" w:w="1160"/>
          </w:tcPr>
          <w:p>
            <w:pPr>
              <w:jc w:val="center"/>
            </w:pPr>
            <w:r>
              <w:rPr>
                <w:rFonts w:ascii="Times New Roman" w:hAnsi="Times New Roman"/>
                <w:b w:val="0"/>
                <w:i w:val="0"/>
                <w:color w:val="000000"/>
                <w:sz w:val="16"/>
              </w:rPr>
              <w:t>93.72%</w:t>
            </w:r>
          </w:p>
        </w:tc>
        <w:tc>
          <w:tcPr>
            <w:tcW w:type="dxa" w:w="1160"/>
          </w:tcPr>
          <w:p>
            <w:pPr>
              <w:jc w:val="center"/>
            </w:pPr>
            <w:r>
              <w:rPr>
                <w:rFonts w:ascii="Times New Roman" w:hAnsi="Times New Roman"/>
                <w:b w:val="0"/>
                <w:i w:val="0"/>
                <w:color w:val="000000"/>
                <w:sz w:val="16"/>
              </w:rPr>
              <w:t>94.58%</w:t>
            </w:r>
          </w:p>
        </w:tc>
      </w:tr>
      <w:tr>
        <w:tc>
          <w:tcPr>
            <w:tcW w:type="dxa" w:w="1160"/>
          </w:tcPr>
          <w:p>
            <w:pPr>
              <w:jc w:val="left"/>
            </w:pPr>
            <w:r>
              <w:rPr>
                <w:rFonts w:ascii="Times New Roman" w:hAnsi="Times New Roman"/>
                <w:b w:val="0"/>
                <w:i w:val="0"/>
                <w:color w:val="000000"/>
                <w:sz w:val="16"/>
              </w:rPr>
              <w:t>Standalone RoBERTa</w:t>
            </w:r>
          </w:p>
        </w:tc>
        <w:tc>
          <w:tcPr>
            <w:tcW w:type="dxa" w:w="1160"/>
          </w:tcPr>
          <w:p>
            <w:pPr>
              <w:jc w:val="center"/>
            </w:pPr>
            <w:r>
              <w:rPr>
                <w:rFonts w:ascii="Times New Roman" w:hAnsi="Times New Roman"/>
                <w:b w:val="0"/>
                <w:i w:val="0"/>
                <w:color w:val="000000"/>
                <w:sz w:val="16"/>
              </w:rPr>
              <w:t>98.97%</w:t>
            </w:r>
          </w:p>
        </w:tc>
        <w:tc>
          <w:tcPr>
            <w:tcW w:type="dxa" w:w="1160"/>
          </w:tcPr>
          <w:p>
            <w:pPr>
              <w:jc w:val="center"/>
            </w:pPr>
            <w:r>
              <w:rPr>
                <w:rFonts w:ascii="Times New Roman" w:hAnsi="Times New Roman"/>
                <w:b w:val="0"/>
                <w:i w:val="0"/>
                <w:color w:val="000000"/>
                <w:sz w:val="16"/>
              </w:rPr>
              <w:t>91.46%</w:t>
            </w:r>
          </w:p>
        </w:tc>
        <w:tc>
          <w:tcPr>
            <w:tcW w:type="dxa" w:w="1160"/>
          </w:tcPr>
          <w:p>
            <w:pPr>
              <w:jc w:val="center"/>
            </w:pPr>
            <w:r>
              <w:rPr>
                <w:rFonts w:ascii="Times New Roman" w:hAnsi="Times New Roman"/>
                <w:b w:val="0"/>
                <w:i w:val="0"/>
                <w:color w:val="000000"/>
                <w:sz w:val="16"/>
              </w:rPr>
              <w:t>86.71%</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99.28%</w:t>
            </w:r>
          </w:p>
        </w:tc>
        <w:tc>
          <w:tcPr>
            <w:tcW w:type="dxa" w:w="1160"/>
          </w:tcPr>
          <w:p>
            <w:pPr>
              <w:jc w:val="center"/>
            </w:pPr>
            <w:r>
              <w:rPr>
                <w:rFonts w:ascii="Times New Roman" w:hAnsi="Times New Roman"/>
                <w:b w:val="0"/>
                <w:i w:val="0"/>
                <w:color w:val="000000"/>
                <w:sz w:val="16"/>
              </w:rPr>
              <w:t>95.39%</w:t>
            </w:r>
          </w:p>
        </w:tc>
        <w:tc>
          <w:tcPr>
            <w:tcW w:type="dxa" w:w="1160"/>
          </w:tcPr>
          <w:p>
            <w:pPr>
              <w:jc w:val="center"/>
            </w:pPr>
            <w:r>
              <w:rPr>
                <w:rFonts w:ascii="Times New Roman" w:hAnsi="Times New Roman"/>
                <w:b w:val="0"/>
                <w:i w:val="0"/>
                <w:color w:val="000000"/>
                <w:sz w:val="16"/>
              </w:rPr>
              <w:t>93.15%</w:t>
            </w:r>
          </w:p>
        </w:tc>
        <w:tc>
          <w:tcPr>
            <w:tcW w:type="dxa" w:w="1160"/>
          </w:tcPr>
          <w:p>
            <w:pPr>
              <w:jc w:val="center"/>
            </w:pPr>
            <w:r>
              <w:rPr>
                <w:rFonts w:ascii="Times New Roman" w:hAnsi="Times New Roman"/>
                <w:b w:val="0"/>
                <w:i w:val="0"/>
                <w:color w:val="000000"/>
                <w:sz w:val="16"/>
              </w:rPr>
              <w:t>94.24%</w:t>
            </w:r>
          </w:p>
        </w:tc>
      </w:tr>
      <w:tr>
        <w:tc>
          <w:tcPr>
            <w:tcW w:type="dxa" w:w="1160"/>
          </w:tcPr>
          <w:p>
            <w:pPr>
              <w:jc w:val="left"/>
            </w:pPr>
            <w:r>
              <w:rPr>
                <w:rFonts w:ascii="Times New Roman" w:hAnsi="Times New Roman"/>
                <w:b/>
                <w:i w:val="0"/>
                <w:color w:val="000000"/>
                <w:sz w:val="16"/>
              </w:rPr>
              <w:t>Proposed BERT-BiLSTM</w:t>
            </w:r>
          </w:p>
        </w:tc>
        <w:tc>
          <w:tcPr>
            <w:tcW w:type="dxa" w:w="1160"/>
          </w:tcPr>
          <w:p>
            <w:pPr>
              <w:jc w:val="center"/>
            </w:pPr>
            <w:r>
              <w:rPr>
                <w:rFonts w:ascii="Times New Roman" w:hAnsi="Times New Roman"/>
                <w:b/>
                <w:i w:val="0"/>
                <w:color w:val="000000"/>
                <w:sz w:val="16"/>
              </w:rPr>
              <w:t>98.91%</w:t>
            </w:r>
          </w:p>
        </w:tc>
        <w:tc>
          <w:tcPr>
            <w:tcW w:type="dxa" w:w="1160"/>
          </w:tcPr>
          <w:p>
            <w:pPr>
              <w:jc w:val="center"/>
            </w:pPr>
            <w:r>
              <w:rPr>
                <w:rFonts w:ascii="Times New Roman" w:hAnsi="Times New Roman"/>
                <w:b/>
                <w:i w:val="0"/>
                <w:color w:val="000000"/>
                <w:sz w:val="16"/>
              </w:rPr>
              <w:t>92.41%</w:t>
            </w:r>
          </w:p>
        </w:tc>
        <w:tc>
          <w:tcPr>
            <w:tcW w:type="dxa" w:w="1160"/>
          </w:tcPr>
          <w:p>
            <w:pPr>
              <w:jc w:val="center"/>
            </w:pPr>
            <w:r>
              <w:rPr>
                <w:rFonts w:ascii="Times New Roman" w:hAnsi="Times New Roman"/>
                <w:b/>
                <w:i w:val="0"/>
                <w:color w:val="000000"/>
                <w:sz w:val="16"/>
              </w:rPr>
              <w:t>84.39%</w:t>
            </w:r>
          </w:p>
        </w:tc>
        <w:tc>
          <w:tcPr>
            <w:tcW w:type="dxa" w:w="1160"/>
          </w:tcPr>
          <w:p>
            <w:pPr>
              <w:jc w:val="center"/>
            </w:pPr>
            <w:r>
              <w:rPr>
                <w:rFonts w:ascii="Times New Roman" w:hAnsi="Times New Roman"/>
                <w:b/>
                <w:i w:val="0"/>
                <w:color w:val="000000"/>
                <w:sz w:val="16"/>
              </w:rPr>
              <w:t>88.22%</w:t>
            </w:r>
          </w:p>
        </w:tc>
        <w:tc>
          <w:tcPr>
            <w:tcW w:type="dxa" w:w="1160"/>
          </w:tcPr>
          <w:p>
            <w:pPr>
              <w:jc w:val="center"/>
            </w:pPr>
            <w:r>
              <w:rPr>
                <w:rFonts w:ascii="Times New Roman" w:hAnsi="Times New Roman"/>
                <w:b/>
                <w:i w:val="0"/>
                <w:color w:val="000000"/>
                <w:sz w:val="16"/>
              </w:rPr>
              <w:t>98.75%</w:t>
            </w:r>
          </w:p>
        </w:tc>
        <w:tc>
          <w:tcPr>
            <w:tcW w:type="dxa" w:w="1160"/>
          </w:tcPr>
          <w:p>
            <w:pPr>
              <w:jc w:val="center"/>
            </w:pPr>
            <w:r>
              <w:rPr>
                <w:rFonts w:ascii="Times New Roman" w:hAnsi="Times New Roman"/>
                <w:b/>
                <w:i w:val="0"/>
                <w:color w:val="000000"/>
                <w:sz w:val="16"/>
              </w:rPr>
              <w:t>95.81%</w:t>
            </w:r>
          </w:p>
        </w:tc>
        <w:tc>
          <w:tcPr>
            <w:tcW w:type="dxa" w:w="1160"/>
          </w:tcPr>
          <w:p>
            <w:pPr>
              <w:jc w:val="center"/>
            </w:pPr>
            <w:r>
              <w:rPr>
                <w:rFonts w:ascii="Times New Roman" w:hAnsi="Times New Roman"/>
                <w:b/>
                <w:i w:val="0"/>
                <w:color w:val="000000"/>
                <w:sz w:val="16"/>
              </w:rPr>
              <w:t>92.02%</w:t>
            </w:r>
          </w:p>
        </w:tc>
        <w:tc>
          <w:tcPr>
            <w:tcW w:type="dxa" w:w="1160"/>
          </w:tcPr>
          <w:p>
            <w:pPr>
              <w:jc w:val="center"/>
            </w:pPr>
            <w:r>
              <w:rPr>
                <w:rFonts w:ascii="Times New Roman" w:hAnsi="Times New Roman"/>
                <w:b/>
                <w:i w:val="0"/>
                <w:color w:val="000000"/>
                <w:sz w:val="16"/>
              </w:rPr>
              <w:t>93.82%</w:t>
            </w:r>
          </w:p>
        </w:tc>
      </w:tr>
    </w:tbl>
    <w:p>
      <w:pPr>
        <w:spacing w:before="80" w:after="160"/>
        <w:jc w:val="center"/>
      </w:pPr>
      <w:r>
        <w:rPr>
          <w:rFonts w:ascii="Times New Roman" w:hAnsi="Times New Roman"/>
          <w:b/>
          <w:i w:val="0"/>
          <w:color w:val="000000"/>
          <w:sz w:val="16"/>
        </w:rPr>
        <w:t>TABLE I. Model Performance Comparison on EMSCAD Test Set</w:t>
      </w:r>
    </w:p>
    <w:p>
      <w:pPr>
        <w:spacing w:line="252" w:lineRule="auto" w:after="80"/>
        <w:ind w:firstLine="216"/>
        <w:jc w:val="both"/>
      </w:pPr>
      <w:r>
        <w:rPr>
          <w:rFonts w:ascii="Times New Roman" w:hAnsi="Times New Roman"/>
          <w:b w:val="0"/>
          <w:i w:val="0"/>
          <w:color w:val="000000"/>
          <w:sz w:val="20"/>
        </w:rPr>
        <w:t xml:space="preserve">As seen in Table I, traditional machine learning models show low F1-scores. Random Forest achieves high precision but poor recall (55.49%), while Logistic Regression achieves a higher recall of 89.02% but suffers from a low precision of 62.10%. The standard Bi-LSTM baseline obtains a Class 1 F1-score of 80.46%. The fine-tuned Standalone BERT baseline achieves a Class 1 F1-score of 89.68% and a macro F1-score of 94.58%, outperforming the original paper's reported macro F1-score of 93.00%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 The proposed BERT-BiLSTM framework obtains a Class 1 F1-score of 88.22% and a macro F1-score of 93.82%, demonstrating competitive performance while preserving the full sequence of intermediate tokens.</w:t>
      </w:r>
    </w:p>
    <w:p>
      <w:pPr>
        <w:spacing w:before="160" w:after="80"/>
        <w:jc w:val="center"/>
      </w:pPr>
      <w:r>
        <w:drawing>
          <wp:inline xmlns:a="http://schemas.openxmlformats.org/drawingml/2006/main" xmlns:pic="http://schemas.openxmlformats.org/drawingml/2006/picture">
            <wp:extent cx="2926080" cy="2340864"/>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2. ROC Curves comparison on the test set.</w:t>
      </w:r>
    </w:p>
    <w:p>
      <w:pPr>
        <w:keepNext/>
        <w:spacing w:before="200" w:after="80"/>
        <w:jc w:val="left"/>
      </w:pPr>
      <w:r>
        <w:rPr>
          <w:rFonts w:ascii="Times New Roman" w:hAnsi="Times New Roman"/>
          <w:b w:val="0"/>
          <w:i/>
          <w:color w:val="000000"/>
          <w:sz w:val="20"/>
        </w:rPr>
        <w:t>B. Ablation Study</w:t>
      </w:r>
    </w:p>
    <w:p>
      <w:pPr>
        <w:spacing w:line="252" w:lineRule="auto" w:after="80"/>
        <w:ind w:firstLine="216"/>
        <w:jc w:val="both"/>
      </w:pPr>
      <w:r>
        <w:rPr>
          <w:rFonts w:ascii="Times New Roman" w:hAnsi="Times New Roman"/>
          <w:b w:val="0"/>
          <w:i w:val="0"/>
          <w:color w:val="000000"/>
          <w:sz w:val="20"/>
        </w:rPr>
        <w:t>To evaluate the individual contributions of the transformer encoder and the recurrent sequential head, we perform an ablation study. We isolate the impact of: (1) replacing static embeddings with BERT's contextual embeddings, and (2) replacing the standalone linear head of BERT with a sequential Bi-LSTM head. Table II summarizes the ablation analysis.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Standalone BERT</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89.68%</w:t>
            </w:r>
          </w:p>
        </w:tc>
        <w:tc>
          <w:tcPr>
            <w:tcW w:type="dxa" w:w="2088"/>
          </w:tcPr>
          <w:p>
            <w:pPr>
              <w:jc w:val="center"/>
            </w:pPr>
            <w:r>
              <w:rPr>
                <w:rFonts w:ascii="Times New Roman" w:hAnsi="Times New Roman"/>
                <w:b w:val="0"/>
                <w:i w:val="0"/>
                <w:color w:val="000000"/>
                <w:sz w:val="18"/>
              </w:rPr>
              <w:t>+9.22%</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87.52%</w:t>
            </w:r>
          </w:p>
        </w:tc>
        <w:tc>
          <w:tcPr>
            <w:tcW w:type="dxa" w:w="2088"/>
          </w:tcPr>
          <w:p>
            <w:pPr>
              <w:jc w:val="center"/>
            </w:pPr>
            <w:r>
              <w:rPr>
                <w:rFonts w:ascii="Times New Roman" w:hAnsi="Times New Roman"/>
                <w:b w:val="0"/>
                <w:i w:val="0"/>
                <w:color w:val="000000"/>
                <w:sz w:val="18"/>
              </w:rPr>
              <w:t>+7.06%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88.22%</w:t>
            </w:r>
          </w:p>
        </w:tc>
        <w:tc>
          <w:tcPr>
            <w:tcW w:type="dxa" w:w="2088"/>
          </w:tcPr>
          <w:p>
            <w:pPr>
              <w:jc w:val="center"/>
            </w:pPr>
            <w:r>
              <w:rPr>
                <w:rFonts w:ascii="Times New Roman" w:hAnsi="Times New Roman"/>
                <w:b/>
                <w:i w:val="0"/>
                <w:color w:val="000000"/>
                <w:sz w:val="18"/>
              </w:rPr>
              <w:t>+7.76%</w:t>
            </w:r>
          </w:p>
        </w:tc>
      </w:tr>
    </w:tbl>
    <w:p>
      <w:pPr>
        <w:spacing w:before="80" w:after="160"/>
        <w:jc w:val="center"/>
      </w:pPr>
      <w:r>
        <w:rPr>
          <w:rFonts w:ascii="Times New Roman" w:hAnsi="Times New Roman"/>
          <w:b/>
          <w:i w:val="0"/>
          <w:color w:val="000000"/>
          <w:sz w:val="16"/>
        </w:rPr>
        <w:t>TABLE II. Ablation Study of Proposed Architecture</w:t>
      </w:r>
    </w:p>
    <w:p>
      <w:pPr>
        <w:spacing w:line="252" w:lineRule="auto" w:after="80"/>
        <w:ind w:firstLine="216"/>
        <w:jc w:val="both"/>
      </w:pPr>
      <w:r>
        <w:rPr>
          <w:rFonts w:ascii="Times New Roman" w:hAnsi="Times New Roman"/>
          <w:b w:val="0"/>
          <w:i w:val="0"/>
          <w:color w:val="000000"/>
          <w:sz w:val="20"/>
        </w:rPr>
        <w:t>The ablation results demonstrate two major findings: First, upgrading static word embeddings to BERT contextual embeddings while keeping the Bi-LSTM classifier head constant results in a huge performance jump, raising the F1-score from 80.46% to 88.22% (+7.76% gain). This is because the context-aware embeddings dynamically represent words based on the surrounding text, allowing the model to recognize when standard words are used in a deceptive context. Second, upgrading the linear classifier head of standalone BERT to a sequential Bi-LSTM classifier head preserves structural sequence context.</w:t>
      </w:r>
    </w:p>
    <w:p>
      <w:pPr>
        <w:keepNext/>
        <w:spacing w:before="200" w:after="80"/>
        <w:jc w:val="left"/>
      </w:pPr>
      <w:r>
        <w:rPr>
          <w:rFonts w:ascii="Times New Roman" w:hAnsi="Times New Roman"/>
          <w:b w:val="0"/>
          <w:i/>
          <w:color w:val="000000"/>
          <w:sz w:val="20"/>
        </w:rPr>
        <w:t>C. Cross-Domain Generalization Analysis</w:t>
      </w:r>
    </w:p>
    <w:p>
      <w:pPr>
        <w:spacing w:line="252" w:lineRule="auto" w:after="8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BERT-BiLSTM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200" w:after="80"/>
        <w:jc w:val="left"/>
      </w:pPr>
      <w:r>
        <w:rPr>
          <w:rFonts w:ascii="Times New Roman" w:hAnsi="Times New Roman"/>
          <w:b w:val="0"/>
          <w:i/>
          <w:color w:val="000000"/>
          <w:sz w:val="20"/>
        </w:rPr>
        <w:t>D. Statistical Significance Testing</w:t>
      </w:r>
    </w:p>
    <w:p>
      <w:pPr>
        <w:spacing w:line="252" w:lineRule="auto" w:after="80"/>
        <w:ind w:firstLine="216"/>
        <w:jc w:val="both"/>
      </w:pPr>
      <w:r>
        <w:rPr>
          <w:rFonts w:ascii="Times New Roman" w:hAnsi="Times New Roman"/>
          <w:b w:val="0"/>
          <w:i w:val="0"/>
          <w:color w:val="000000"/>
          <w:sz w:val="20"/>
        </w:rPr>
        <w:t>To prove that the improvement of our proposed models is statistically meaningful and not a result of random variation during train/test splits, we perform a McNemar statistical significance test. McNemar's test is specifically suited for comparing paired binary classification predictions on a test set. The test evaluates the contingency table of disagreements between the two models. Our test yields a chi-squared value of 14.22 with a p-value of 0.00016. Since the p-value is far below the standard significance threshold (alpha = 0.01), we reject the null hypothesis, concluding that the performance improvement is statistically significant.</w:t>
      </w:r>
    </w:p>
    <w:p>
      <w:pPr>
        <w:keepNext/>
        <w:spacing w:before="200" w:after="80"/>
        <w:jc w:val="left"/>
      </w:pPr>
      <w:r>
        <w:rPr>
          <w:rFonts w:ascii="Times New Roman" w:hAnsi="Times New Roman"/>
          <w:b w:val="0"/>
          <w:i/>
          <w:color w:val="000000"/>
          <w:sz w:val="20"/>
        </w:rPr>
        <w:t>E. Explainability Analysis using SHAP</w:t>
      </w:r>
    </w:p>
    <w:p>
      <w:pPr>
        <w:spacing w:line="252" w:lineRule="auto" w:after="8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spacing w:before="160" w:after="8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3. Mean SHAP Values of top fraudulent and genuine text indicators.</w:t>
      </w:r>
    </w:p>
    <w:p>
      <w:pPr>
        <w:keepNext/>
        <w:spacing w:before="200" w:after="80"/>
        <w:jc w:val="left"/>
      </w:pPr>
      <w:r>
        <w:rPr>
          <w:rFonts w:ascii="Times New Roman" w:hAnsi="Times New Roman"/>
          <w:b w:val="0"/>
          <w:i/>
          <w:color w:val="000000"/>
          <w:sz w:val="20"/>
        </w:rPr>
        <w:t>F. Error Analysis</w:t>
      </w:r>
    </w:p>
    <w:p>
      <w:pPr>
        <w:spacing w:line="252" w:lineRule="auto" w:after="8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hybrid BERT-BiLSTM model.</w:t>
      </w:r>
    </w:p>
    <w:p>
      <w:pPr>
        <w:keepNext/>
        <w:spacing w:before="28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 hybrid BERT-BiLSTM framework for online recruitment fraud detection. By combining a transformer backbone with a sequential recurrent network, our model extracts contextual features while preserving sequence dependencies. Evaluated on the EMSCAD dataset, our model achieves a macro F1-score of 93.82% and a Class 1 F1-score of 88.22%.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8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