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8"/>
        </w:rPr>
        <w:t>An Explainable and Context-Aware BERT Framework for</w:t>
        <w:br/>
        <w:t>Online Recruitment Fraud Detection</w:t>
      </w:r>
    </w:p>
    <w:p>
      <w:pPr>
        <w:spacing w:after="360"/>
        <w:jc w:val="center"/>
      </w:pPr>
      <w:r>
        <w:rPr>
          <w:rFonts w:ascii="Times New Roman" w:hAnsi="Times New Roman"/>
          <w:b w:val="0"/>
          <w:i w:val="0"/>
          <w:color w:val="000000"/>
          <w:sz w:val="22"/>
        </w:rPr>
        <w:t>Akhilesh</w:t>
        <w:br/>
        <w:t>Department of Computer Science and Engineering</w:t>
        <w:br/>
        <w:t>M.Sc. (Data Science)</w:t>
        <w:br/>
        <w:t>India</w:t>
        <w:br/>
        <w:t>email@example.com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make candidate search faster but also allow scammers to publish fraudulent listings. These posts are designed to collect confidential applicant data or extort payments. Manual identification of fraudulent job ads is highly inefficient because scammers duplicate legitimate organizational profiles. Traditional machine learning models fail to model context, and standard deep learning architectures function as black-box systems, preventing interpretability. This research presents an explainable and context-aware BERT framework to detect fake jobs. The proposed model fine-tunes a pre-trained bert-base-uncased model using a robust multi-field concatenation pipeline that combines 10 metadata fields while filtering out null entries and string noise. We implement a class-weighted loss function to handle severe label imbalance. Crucially, we integrate SHAP (SHapley Additive exPlanations) to explain predictions at the token level, identifying specific deceptive keywords. Following standard macro-averaged evaluation on the EMSCAD dataset, the proposed model achieves a precision of 0.95, recall of 0.94, F1-score of 0.95 (94.58%), accuracy of 0.99 (99.02%), and a ROC-AUC of 0.99 (99.22%). This configuration provides a stable and interpretable classification pipeline for recruitment board deployment.</w:t>
      </w:r>
    </w:p>
    <w:p>
      <w:pPr>
        <w:spacing w:after="24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Explainable AI, SHAP.</w:t>
      </w:r>
    </w:p>
    <w:p>
      <w:pPr>
        <w:keepNext/>
        <w:spacing w:before="28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Job platforms like Indeed and LinkedIn have simplified recruitment, allowing companies to post job openings and connect with applicants. However, these systems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extract fees for training or background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Since these posts are written using professional corporate terminology, manual inspection is slow and error-prone.</w:t>
      </w:r>
    </w:p>
    <w:p>
      <w:pPr>
        <w:spacing w:line="252" w:lineRule="auto" w:after="80"/>
        <w:ind w:firstLine="216"/>
        <w:jc w:val="both"/>
      </w:pPr>
      <w:r>
        <w:rPr>
          <w:rFonts w:ascii="Times New Roman" w:hAnsi="Times New Roman"/>
          <w:b w:val="0"/>
          <w:i w:val="0"/>
          <w:color w:val="000000"/>
          <w:sz w:val="20"/>
        </w:rPr>
        <w:t xml:space="preserve">Identifying these listings automatically requires advanced natural language processing.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context, they struggle with polysemy and semantic shifts in fraudulent texts.</w:t>
      </w:r>
    </w:p>
    <w:p>
      <w:pPr>
        <w:spacing w:line="252" w:lineRule="auto" w:after="8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utilizes bidirectional self-attention to generate context-aware token representations. However, standard BERT classifiers function as black-box systems, making it difficult to understand why a particular listing was flagged. This lack of interpretability is a major barrier to deploying these systems in production recruitment platforms.</w:t>
      </w:r>
    </w:p>
    <w:p>
      <w:pPr>
        <w:spacing w:line="252" w:lineRule="auto" w:after="80"/>
        <w:ind w:firstLine="216"/>
        <w:jc w:val="both"/>
      </w:pPr>
      <w:r>
        <w:rPr>
          <w:rFonts w:ascii="Times New Roman" w:hAnsi="Times New Roman"/>
          <w:b w:val="0"/>
          <w:i w:val="0"/>
          <w:color w:val="000000"/>
          <w:sz w:val="20"/>
        </w:rPr>
        <w:t xml:space="preserve">To resolve these limitations, we propose an explainable and context-aware </w:t>
      </w:r>
      <w:r>
        <w:rPr>
          <w:rFonts w:ascii="Times New Roman" w:hAnsi="Times New Roman"/>
          <w:b/>
          <w:i w:val="0"/>
          <w:color w:val="000000"/>
          <w:sz w:val="20"/>
        </w:rPr>
        <w:t>BERT</w:t>
      </w:r>
      <w:r>
        <w:rPr>
          <w:rFonts w:ascii="Times New Roman" w:hAnsi="Times New Roman"/>
          <w:b w:val="0"/>
          <w:i w:val="0"/>
          <w:color w:val="000000"/>
          <w:sz w:val="20"/>
        </w:rPr>
        <w:t xml:space="preserve"> framework. Our approach fine-tunes a pre-trained </w:t>
      </w:r>
      <w:r>
        <w:rPr>
          <w:rFonts w:ascii="Times New Roman" w:hAnsi="Times New Roman"/>
          <w:b/>
          <w:i w:val="0"/>
          <w:color w:val="000000"/>
          <w:sz w:val="20"/>
        </w:rPr>
        <w:t>bert-base-uncased</w:t>
      </w:r>
      <w:r>
        <w:rPr>
          <w:rFonts w:ascii="Times New Roman" w:hAnsi="Times New Roman"/>
          <w:b w:val="0"/>
          <w:i w:val="0"/>
          <w:color w:val="000000"/>
          <w:sz w:val="20"/>
        </w:rPr>
        <w:t xml:space="preserve"> model on a robust 10-field concatenation pipeline. The pipeline combines Title, Profile, Description, Requirements, Benefits, and categorical metadata while filtering out empty entries and NaN formatting noise. To address the class imbalance of the EMSCAD dataset (where fake ads constitute less than 5% of postings), we apply a class-weighted binary cross-entropy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via ablation experiments and comparisons with classical and transformer-based baselines.</w:t>
      </w:r>
    </w:p>
    <w:p>
      <w:pPr>
        <w:spacing w:line="252" w:lineRule="auto" w:after="8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an explainable BERT architecture that maintains token-level contextual hidden states. Third, we integrate SHAP for token-level visual explainability, addressing the black-box limitation. Finally, we provide a comprehensive empirical evaluation against multiple baselines, detailing classification metrics, computational times, and error categories.</w:t>
      </w:r>
    </w:p>
    <w:p>
      <w:pPr>
        <w:keepNext/>
        <w:spacing w:before="280" w:after="120"/>
        <w:jc w:val="center"/>
      </w:pPr>
      <w:r>
        <w:rPr>
          <w:rFonts w:ascii="Times New Roman" w:hAnsi="Times New Roman"/>
          <w:b/>
          <w:i w:val="0"/>
          <w:color w:val="000000"/>
          <w:sz w:val="20"/>
        </w:rPr>
        <w:t>II.  RELATED WORK</w:t>
      </w:r>
    </w:p>
    <w:p>
      <w:pPr>
        <w:spacing w:line="252" w:lineRule="auto" w:after="8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20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decision boundaries on smaller token vocabularies.</w:t>
      </w:r>
    </w:p>
    <w:p>
      <w:pPr>
        <w:keepNext/>
        <w:spacing w:before="20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While these transformer architectures achieve good accuracy, they operate as black boxes and are highly sensitive to dataset preprocessing artifacts. Our work addresses these limitations by introducing a robust NaN-free preprocessing pipeline and token-level explainability using SHAP.</w:t>
      </w:r>
    </w:p>
    <w:p>
      <w:pPr>
        <w:keepNext/>
        <w:spacing w:before="280" w:after="120"/>
        <w:jc w:val="center"/>
      </w:pPr>
      <w:r>
        <w:rPr>
          <w:rFonts w:ascii="Times New Roman" w:hAnsi="Times New Roman"/>
          <w:b/>
          <w:i w:val="0"/>
          <w:color w:val="000000"/>
          <w:sz w:val="20"/>
        </w:rPr>
        <w:t>III.  PROPOSED METHODOLOGY</w:t>
      </w:r>
    </w:p>
    <w:p>
      <w:pPr>
        <w:spacing w:line="252" w:lineRule="auto" w:after="80"/>
        <w:ind w:firstLine="216"/>
        <w:jc w:val="both"/>
      </w:pPr>
      <w:r>
        <w:rPr>
          <w:rFonts w:ascii="Times New Roman" w:hAnsi="Times New Roman"/>
          <w:b w:val="0"/>
          <w:i w:val="0"/>
          <w:color w:val="000000"/>
          <w:sz w:val="20"/>
        </w:rPr>
        <w:t>The proposed BERT framework consists of four main steps: (A) Robust Concatenation, (B) BERT Classification Model, (C) Class-Weighted Loss, and (D) SHAP Explainability. Figure 1 shows the architecture of our system.</w:t>
      </w:r>
    </w:p>
    <w:p>
      <w:pPr>
        <w:spacing w:before="160" w:after="80"/>
        <w:jc w:val="center"/>
      </w:pPr>
      <w:r>
        <w:drawing>
          <wp:inline xmlns:a="http://schemas.openxmlformats.org/drawingml/2006/main" xmlns:pic="http://schemas.openxmlformats.org/drawingml/2006/picture">
            <wp:extent cx="2926080" cy="4159332"/>
            <wp:docPr id="1" name="Picture 1"/>
            <wp:cNvGraphicFramePr>
              <a:graphicFrameLocks noChangeAspect="1"/>
            </wp:cNvGraphicFramePr>
            <a:graphic>
              <a:graphicData uri="http://schemas.openxmlformats.org/drawingml/2006/picture">
                <pic:pic>
                  <pic:nvPicPr>
                    <pic:cNvPr id="0" name="architecture_bert.png"/>
                    <pic:cNvPicPr/>
                  </pic:nvPicPr>
                  <pic:blipFill>
                    <a:blip r:embed="rId9"/>
                    <a:stretch>
                      <a:fillRect/>
                    </a:stretch>
                  </pic:blipFill>
                  <pic:spPr>
                    <a:xfrm>
                      <a:off x="0" y="0"/>
                      <a:ext cx="2926080" cy="4159332"/>
                    </a:xfrm>
                    <a:prstGeom prst="rect"/>
                  </pic:spPr>
                </pic:pic>
              </a:graphicData>
            </a:graphic>
          </wp:inline>
        </w:drawing>
      </w:r>
    </w:p>
    <w:p>
      <w:pPr>
        <w:spacing w:after="160"/>
        <w:jc w:val="center"/>
      </w:pPr>
      <w:r>
        <w:rPr>
          <w:rFonts w:ascii="Times New Roman" w:hAnsi="Times New Roman"/>
          <w:b w:val="0"/>
          <w:i w:val="0"/>
          <w:color w:val="000000"/>
          <w:sz w:val="16"/>
        </w:rPr>
        <w:t>Fig. 1. System Architecture of the Proposed Explainable BERT model.</w:t>
      </w:r>
    </w:p>
    <w:p>
      <w:pPr>
        <w:keepNext/>
        <w:spacing w:before="200" w:after="80"/>
        <w:jc w:val="left"/>
      </w:pPr>
      <w:r>
        <w:rPr>
          <w:rFonts w:ascii="Times New Roman" w:hAnsi="Times New Roman"/>
          <w:b w:val="0"/>
          <w:i/>
          <w:color w:val="000000"/>
          <w:sz w:val="20"/>
        </w:rPr>
        <w:t>A. Robust Concatenation</w:t>
      </w:r>
    </w:p>
    <w:p>
      <w:pPr>
        <w:spacing w:line="252" w:lineRule="auto" w:after="8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120" w:after="12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8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200" w:after="80"/>
        <w:jc w:val="left"/>
      </w:pPr>
      <w:r>
        <w:rPr>
          <w:rFonts w:ascii="Times New Roman" w:hAnsi="Times New Roman"/>
          <w:b w:val="0"/>
          <w:i/>
          <w:color w:val="000000"/>
          <w:sz w:val="20"/>
        </w:rPr>
        <w:t>B. BERT Classification Model</w:t>
      </w:r>
    </w:p>
    <w:p>
      <w:pPr>
        <w:spacing w:line="252" w:lineRule="auto" w:after="8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 The representation of the special classification token ([CLS]) is extracted and passed through a dense dropout layer to compute the class logits:</w:t>
      </w:r>
    </w:p>
    <w:p>
      <w:pPr>
        <w:spacing w:before="120" w:after="120"/>
        <w:jc w:val="center"/>
      </w:pPr>
      <w:r>
        <w:rPr>
          <w:rFonts w:ascii="Times New Roman" w:hAnsi="Times New Roman"/>
          <w:b w:val="0"/>
          <w:i/>
          <w:color w:val="000000"/>
          <w:sz w:val="20"/>
        </w:rPr>
        <w:t>H_{cls} = \text{BERT}_{CLS}(I, A) \in \mathbb{R}^{D}</w:t>
        <w:tab/>
        <w:tab/>
      </w:r>
      <w:r>
        <w:rPr>
          <w:rFonts w:ascii="Times New Roman" w:hAnsi="Times New Roman"/>
          <w:b w:val="0"/>
          <w:i w:val="0"/>
          <w:color w:val="000000"/>
          <w:sz w:val="20"/>
        </w:rPr>
        <w:t>(2)</w:t>
      </w:r>
    </w:p>
    <w:p>
      <w:pPr>
        <w:spacing w:before="120" w:after="120"/>
        <w:jc w:val="center"/>
      </w:pPr>
      <w:r>
        <w:rPr>
          <w:rFonts w:ascii="Times New Roman" w:hAnsi="Times New Roman"/>
          <w:b w:val="0"/>
          <w:i/>
          <w:color w:val="000000"/>
          <w:sz w:val="20"/>
        </w:rPr>
        <w:t>\hat{y} = \text{Linear}(\text{Dropout}(H_{cls}))</w:t>
        <w:tab/>
        <w:tab/>
      </w:r>
      <w:r>
        <w:rPr>
          <w:rFonts w:ascii="Times New Roman" w:hAnsi="Times New Roman"/>
          <w:b w:val="0"/>
          <w:i w:val="0"/>
          <w:color w:val="000000"/>
          <w:sz w:val="20"/>
        </w:rPr>
        <w:t>(3)</w:t>
      </w:r>
    </w:p>
    <w:p>
      <w:pPr>
        <w:spacing w:line="252" w:lineRule="auto" w:after="80"/>
        <w:ind w:firstLine="216"/>
        <w:jc w:val="both"/>
      </w:pPr>
      <w:r>
        <w:rPr>
          <w:rFonts w:ascii="Times New Roman" w:hAnsi="Times New Roman"/>
          <w:b w:val="0"/>
          <w:i w:val="0"/>
          <w:color w:val="000000"/>
          <w:sz w:val="20"/>
        </w:rPr>
        <w:t>where D is the embedding dimension (D = 768). All layers of the BERT backbone are fine-tuned to capture domain-specific patterns.</w:t>
      </w:r>
    </w:p>
    <w:p>
      <w:pPr>
        <w:keepNext/>
        <w:spacing w:before="200" w:after="80"/>
        <w:jc w:val="left"/>
      </w:pPr>
      <w:r>
        <w:rPr>
          <w:rFonts w:ascii="Times New Roman" w:hAnsi="Times New Roman"/>
          <w:b w:val="0"/>
          <w:i/>
          <w:color w:val="000000"/>
          <w:sz w:val="20"/>
        </w:rPr>
        <w:t>C. Class-Weighted Loss</w:t>
      </w:r>
    </w:p>
    <w:p>
      <w:pPr>
        <w:spacing w:line="252" w:lineRule="auto" w:after="8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120" w:after="12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(4)</w:t>
      </w:r>
    </w:p>
    <w:p>
      <w:pPr>
        <w:spacing w:line="252" w:lineRule="auto" w:after="80"/>
        <w:ind w:firstLine="216"/>
        <w:jc w:val="both"/>
      </w:pPr>
      <w:r>
        <w:rPr>
          <w:rFonts w:ascii="Times New Roman" w:hAnsi="Times New Roman"/>
          <w:b w:val="0"/>
          <w:i w:val="0"/>
          <w:color w:val="000000"/>
          <w:sz w:val="20"/>
        </w:rPr>
        <w:t>where we set $w_{pos} = 3.5$ to penalize false negatives and improve recall on fraudulent listings.</w:t>
      </w:r>
    </w:p>
    <w:p>
      <w:pPr>
        <w:keepNext/>
        <w:spacing w:before="200" w:after="80"/>
        <w:jc w:val="left"/>
      </w:pPr>
      <w:r>
        <w:rPr>
          <w:rFonts w:ascii="Times New Roman" w:hAnsi="Times New Roman"/>
          <w:b w:val="0"/>
          <w:i/>
          <w:color w:val="000000"/>
          <w:sz w:val="20"/>
        </w:rPr>
        <w:t>D. SHAP Explainability</w:t>
      </w:r>
    </w:p>
    <w:p>
      <w:pPr>
        <w:spacing w:line="252" w:lineRule="auto" w:after="8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120" w:after="12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(5)</w:t>
      </w:r>
    </w:p>
    <w:p>
      <w:pPr>
        <w:spacing w:line="252" w:lineRule="auto" w:after="8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 showing which words contribute to flagging a job as fake.</w:t>
      </w:r>
    </w:p>
    <w:p>
      <w:pPr>
        <w:keepNext/>
        <w:spacing w:before="280" w:after="120"/>
        <w:jc w:val="center"/>
      </w:pPr>
      <w:r>
        <w:rPr>
          <w:rFonts w:ascii="Times New Roman" w:hAnsi="Times New Roman"/>
          <w:b/>
          <w:i w:val="0"/>
          <w:color w:val="000000"/>
          <w:sz w:val="20"/>
        </w:rPr>
        <w:t>IV.  EXPERIMENTAL SETUP</w:t>
      </w:r>
    </w:p>
    <w:p>
      <w:pPr>
        <w:keepNext/>
        <w:spacing w:before="200" w:after="80"/>
        <w:jc w:val="left"/>
      </w:pPr>
      <w:r>
        <w:rPr>
          <w:rFonts w:ascii="Times New Roman" w:hAnsi="Times New Roman"/>
          <w:b w:val="0"/>
          <w:i/>
          <w:color w:val="000000"/>
          <w:sz w:val="20"/>
        </w:rPr>
        <w:t>A. Dataset</w:t>
      </w:r>
    </w:p>
    <w:p>
      <w:pPr>
        <w:spacing w:line="252" w:lineRule="auto" w:after="8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200" w:after="80"/>
        <w:jc w:val="left"/>
      </w:pPr>
      <w:r>
        <w:rPr>
          <w:rFonts w:ascii="Times New Roman" w:hAnsi="Times New Roman"/>
          <w:b w:val="0"/>
          <w:i/>
          <w:color w:val="000000"/>
          <w:sz w:val="20"/>
        </w:rPr>
        <w:t>B. Hardware and Hyperparameters</w:t>
      </w:r>
    </w:p>
    <w:p>
      <w:pPr>
        <w:spacing w:line="252" w:lineRule="auto" w:after="8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learning rates of 2e-5 for BERT layers and 1e-3 for the classification head.</w:t>
      </w:r>
    </w:p>
    <w:p>
      <w:pPr>
        <w:keepNext/>
        <w:spacing w:before="200" w:after="80"/>
        <w:jc w:val="left"/>
      </w:pPr>
      <w:r>
        <w:rPr>
          <w:rFonts w:ascii="Times New Roman" w:hAnsi="Times New Roman"/>
          <w:b w:val="0"/>
          <w:i/>
          <w:color w:val="000000"/>
          <w:sz w:val="20"/>
        </w:rPr>
        <w:t>C. Baseline Models</w:t>
      </w:r>
    </w:p>
    <w:p>
      <w:pPr>
        <w:spacing w:line="252" w:lineRule="auto" w:after="80"/>
        <w:ind w:firstLine="216"/>
        <w:jc w:val="both"/>
      </w:pPr>
      <w:r>
        <w:rPr>
          <w:rFonts w:ascii="Times New Roman" w:hAnsi="Times New Roman"/>
          <w:b w:val="0"/>
          <w:i w:val="0"/>
          <w:color w:val="000000"/>
          <w:sz w:val="20"/>
        </w:rPr>
        <w:t>We benchmark our model against several baselines: (1) Logistic Regression with TF-IDF features, (2) Random Forest with TF-IDF features, and (3) Standard Bi-LSTM. The baseline configurations represent standard implementations for imbalanced text classification.</w:t>
      </w:r>
    </w:p>
    <w:p>
      <w:pPr>
        <w:keepNext/>
        <w:spacing w:before="280" w:after="120"/>
        <w:jc w:val="center"/>
      </w:pPr>
      <w:r>
        <w:rPr>
          <w:rFonts w:ascii="Times New Roman" w:hAnsi="Times New Roman"/>
          <w:b/>
          <w:i w:val="0"/>
          <w:color w:val="000000"/>
          <w:sz w:val="20"/>
        </w:rPr>
        <w:t>V.  RESULTS AND DISCUSSION</w:t>
      </w:r>
    </w:p>
    <w:p>
      <w:pPr>
        <w:keepNext/>
        <w:spacing w:before="200" w:after="80"/>
        <w:jc w:val="left"/>
      </w:pPr>
      <w:r>
        <w:rPr>
          <w:rFonts w:ascii="Times New Roman" w:hAnsi="Times New Roman"/>
          <w:b w:val="0"/>
          <w:i/>
          <w:color w:val="000000"/>
          <w:sz w:val="20"/>
        </w:rPr>
        <w:t>A. Performance Evaluation of Proposed Model Against Baseline Models</w:t>
      </w:r>
    </w:p>
    <w:p>
      <w:pPr>
        <w:spacing w:line="252" w:lineRule="auto" w:after="80"/>
        <w:ind w:firstLine="216"/>
        <w:jc w:val="both"/>
      </w:pPr>
      <w:r>
        <w:rPr>
          <w:rFonts w:ascii="Times New Roman" w:hAnsi="Times New Roman"/>
          <w:b w:val="0"/>
          <w:i w:val="0"/>
          <w:color w:val="000000"/>
          <w:sz w:val="20"/>
        </w:rPr>
        <w:t xml:space="preserve">The performance of all models on the test set is summarized in Table I. Following benchmark reporting conventions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macro-averaged Precision (P), Recall (R), and F1-score (F1), alongside overall Accuracy and 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P</w:t>
            </w:r>
          </w:p>
        </w:tc>
        <w:tc>
          <w:tcPr>
            <w:tcW w:type="dxa" w:w="1740"/>
          </w:tcPr>
          <w:p>
            <w:pPr>
              <w:jc w:val="center"/>
            </w:pPr>
            <w:r>
              <w:rPr>
                <w:rFonts w:ascii="Times New Roman" w:hAnsi="Times New Roman"/>
                <w:b/>
                <w:i w:val="0"/>
                <w:color w:val="000000"/>
                <w:sz w:val="18"/>
              </w:rPr>
              <w:t>R</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Accuracy</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0.81</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0.86</w:t>
            </w:r>
          </w:p>
        </w:tc>
        <w:tc>
          <w:tcPr>
            <w:tcW w:type="dxa" w:w="1740"/>
          </w:tcPr>
          <w:p>
            <w:pPr>
              <w:jc w:val="center"/>
            </w:pPr>
            <w:r>
              <w:rPr>
                <w:rFonts w:ascii="Times New Roman" w:hAnsi="Times New Roman"/>
                <w:b w:val="0"/>
                <w:i w:val="0"/>
                <w:color w:val="000000"/>
                <w:sz w:val="18"/>
              </w:rPr>
              <w:t>0.97</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0.78</w:t>
            </w:r>
          </w:p>
        </w:tc>
        <w:tc>
          <w:tcPr>
            <w:tcW w:type="dxa" w:w="1740"/>
          </w:tcPr>
          <w:p>
            <w:pPr>
              <w:jc w:val="center"/>
            </w:pPr>
            <w:r>
              <w:rPr>
                <w:rFonts w:ascii="Times New Roman" w:hAnsi="Times New Roman"/>
                <w:b w:val="0"/>
                <w:i w:val="0"/>
                <w:color w:val="000000"/>
                <w:sz w:val="18"/>
              </w:rPr>
              <w:t>0.85</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Standard Bi-LSTM</w:t>
            </w:r>
          </w:p>
        </w:tc>
        <w:tc>
          <w:tcPr>
            <w:tcW w:type="dxa" w:w="1740"/>
          </w:tcPr>
          <w:p>
            <w:pPr>
              <w:jc w:val="center"/>
            </w:pPr>
            <w:r>
              <w:rPr>
                <w:rFonts w:ascii="Times New Roman" w:hAnsi="Times New Roman"/>
                <w:b w:val="0"/>
                <w:i w:val="0"/>
                <w:color w:val="000000"/>
                <w:sz w:val="18"/>
              </w:rPr>
              <w:t>0.89</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0.97</w:t>
            </w:r>
          </w:p>
        </w:tc>
      </w:tr>
      <w:tr>
        <w:tc>
          <w:tcPr>
            <w:tcW w:type="dxa" w:w="1740"/>
          </w:tcPr>
          <w:p>
            <w:pPr>
              <w:jc w:val="left"/>
            </w:pPr>
            <w:r>
              <w:rPr>
                <w:rFonts w:ascii="Times New Roman" w:hAnsi="Times New Roman"/>
                <w:b/>
                <w:i w:val="0"/>
                <w:color w:val="000000"/>
                <w:sz w:val="18"/>
              </w:rPr>
              <w:t>Proposed BERT Model</w:t>
            </w:r>
          </w:p>
        </w:tc>
        <w:tc>
          <w:tcPr>
            <w:tcW w:type="dxa" w:w="1740"/>
          </w:tcPr>
          <w:p>
            <w:pPr>
              <w:jc w:val="center"/>
            </w:pPr>
            <w:r>
              <w:rPr>
                <w:rFonts w:ascii="Times New Roman" w:hAnsi="Times New Roman"/>
                <w:b/>
                <w:i w:val="0"/>
                <w:color w:val="000000"/>
                <w:sz w:val="18"/>
              </w:rPr>
              <w:t>0.95</w:t>
            </w:r>
          </w:p>
        </w:tc>
        <w:tc>
          <w:tcPr>
            <w:tcW w:type="dxa" w:w="1740"/>
          </w:tcPr>
          <w:p>
            <w:pPr>
              <w:jc w:val="center"/>
            </w:pPr>
            <w:r>
              <w:rPr>
                <w:rFonts w:ascii="Times New Roman" w:hAnsi="Times New Roman"/>
                <w:b/>
                <w:i w:val="0"/>
                <w:color w:val="000000"/>
                <w:sz w:val="18"/>
              </w:rPr>
              <w:t>0.94</w:t>
            </w:r>
          </w:p>
        </w:tc>
        <w:tc>
          <w:tcPr>
            <w:tcW w:type="dxa" w:w="1740"/>
          </w:tcPr>
          <w:p>
            <w:pPr>
              <w:jc w:val="center"/>
            </w:pPr>
            <w:r>
              <w:rPr>
                <w:rFonts w:ascii="Times New Roman" w:hAnsi="Times New Roman"/>
                <w:b/>
                <w:i w:val="0"/>
                <w:color w:val="000000"/>
                <w:sz w:val="18"/>
              </w:rPr>
              <w:t>0.95</w:t>
            </w:r>
          </w:p>
        </w:tc>
        <w:tc>
          <w:tcPr>
            <w:tcW w:type="dxa" w:w="1740"/>
          </w:tcPr>
          <w:p>
            <w:pPr>
              <w:jc w:val="center"/>
            </w:pPr>
            <w:r>
              <w:rPr>
                <w:rFonts w:ascii="Times New Roman" w:hAnsi="Times New Roman"/>
                <w:b/>
                <w:i w:val="0"/>
                <w:color w:val="000000"/>
                <w:sz w:val="18"/>
              </w:rPr>
              <w:t>0.99</w:t>
            </w:r>
          </w:p>
        </w:tc>
        <w:tc>
          <w:tcPr>
            <w:tcW w:type="dxa" w:w="1740"/>
          </w:tcPr>
          <w:p>
            <w:pPr>
              <w:jc w:val="center"/>
            </w:pPr>
            <w:r>
              <w:rPr>
                <w:rFonts w:ascii="Times New Roman" w:hAnsi="Times New Roman"/>
                <w:b/>
                <w:i w:val="0"/>
                <w:color w:val="000000"/>
                <w:sz w:val="18"/>
              </w:rPr>
              <w:t>0.99</w:t>
            </w:r>
          </w:p>
        </w:tc>
      </w:tr>
    </w:tbl>
    <w:p>
      <w:pPr>
        <w:spacing w:before="80" w:after="160"/>
        <w:jc w:val="center"/>
      </w:pPr>
      <w:r>
        <w:rPr>
          <w:rFonts w:ascii="Times New Roman" w:hAnsi="Times New Roman"/>
          <w:b/>
          <w:i w:val="0"/>
          <w:color w:val="000000"/>
          <w:sz w:val="16"/>
        </w:rPr>
        <w:t>TABLE I. Comparison of Proposed Model with Baseline Models</w:t>
      </w:r>
    </w:p>
    <w:p>
      <w:pPr>
        <w:spacing w:line="252" w:lineRule="auto" w:after="80"/>
        <w:ind w:firstLine="216"/>
        <w:jc w:val="both"/>
      </w:pPr>
      <w:r>
        <w:rPr>
          <w:rFonts w:ascii="Times New Roman" w:hAnsi="Times New Roman"/>
          <w:b w:val="0"/>
          <w:i w:val="0"/>
          <w:color w:val="000000"/>
          <w:sz w:val="20"/>
        </w:rPr>
        <w:t xml:space="preserve">As seen in Table I, traditional machine learning models show lower F1-scores. Random Forest achieves high precision but lower recall on fraud, while Logistic Regression suffers from a lower precision. The standard Bi-LSTM baseline obtains a macro F1-score of 0.90. The proposed Standalone BERT model achieves a macro precision of </w:t>
      </w:r>
      <w:r>
        <w:rPr>
          <w:rFonts w:ascii="Times New Roman" w:hAnsi="Times New Roman"/>
          <w:b/>
          <w:i w:val="0"/>
          <w:color w:val="000000"/>
          <w:sz w:val="20"/>
        </w:rPr>
        <w:t>0.95</w:t>
      </w:r>
      <w:r>
        <w:rPr>
          <w:rFonts w:ascii="Times New Roman" w:hAnsi="Times New Roman"/>
          <w:b w:val="0"/>
          <w:i w:val="0"/>
          <w:color w:val="000000"/>
          <w:sz w:val="20"/>
        </w:rPr>
        <w:t xml:space="preserve"> (95.48%), macro recall of </w:t>
      </w:r>
      <w:r>
        <w:rPr>
          <w:rFonts w:ascii="Times New Roman" w:hAnsi="Times New Roman"/>
          <w:b/>
          <w:i w:val="0"/>
          <w:color w:val="000000"/>
          <w:sz w:val="20"/>
        </w:rPr>
        <w:t>0.94</w:t>
      </w:r>
      <w:r>
        <w:rPr>
          <w:rFonts w:ascii="Times New Roman" w:hAnsi="Times New Roman"/>
          <w:b w:val="0"/>
          <w:i w:val="0"/>
          <w:color w:val="000000"/>
          <w:sz w:val="20"/>
        </w:rPr>
        <w:t xml:space="preserve"> (93.72%), macro F1-score of </w:t>
      </w:r>
      <w:r>
        <w:rPr>
          <w:rFonts w:ascii="Times New Roman" w:hAnsi="Times New Roman"/>
          <w:b/>
          <w:i w:val="0"/>
          <w:color w:val="000000"/>
          <w:sz w:val="20"/>
        </w:rPr>
        <w:t>0.95</w:t>
      </w:r>
      <w:r>
        <w:rPr>
          <w:rFonts w:ascii="Times New Roman" w:hAnsi="Times New Roman"/>
          <w:b w:val="0"/>
          <w:i w:val="0"/>
          <w:color w:val="000000"/>
          <w:sz w:val="20"/>
        </w:rPr>
        <w:t xml:space="preserve"> (94.58%), accuracy of </w:t>
      </w:r>
      <w:r>
        <w:rPr>
          <w:rFonts w:ascii="Times New Roman" w:hAnsi="Times New Roman"/>
          <w:b/>
          <w:i w:val="0"/>
          <w:color w:val="000000"/>
          <w:sz w:val="20"/>
        </w:rPr>
        <w:t>0.99</w:t>
      </w:r>
      <w:r>
        <w:rPr>
          <w:rFonts w:ascii="Times New Roman" w:hAnsi="Times New Roman"/>
          <w:b w:val="0"/>
          <w:i w:val="0"/>
          <w:color w:val="000000"/>
          <w:sz w:val="20"/>
        </w:rPr>
        <w:t xml:space="preserve"> (99.02%), and AUC of </w:t>
      </w:r>
      <w:r>
        <w:rPr>
          <w:rFonts w:ascii="Times New Roman" w:hAnsi="Times New Roman"/>
          <w:b/>
          <w:i w:val="0"/>
          <w:color w:val="000000"/>
          <w:sz w:val="20"/>
        </w:rPr>
        <w:t>0.99</w:t>
      </w:r>
      <w:r>
        <w:rPr>
          <w:rFonts w:ascii="Times New Roman" w:hAnsi="Times New Roman"/>
          <w:b w:val="0"/>
          <w:i w:val="0"/>
          <w:color w:val="000000"/>
          <w:sz w:val="20"/>
        </w:rPr>
        <w:t xml:space="preserve"> (99.22%), outperforming the original paper's reported macro F1-score of 0.93 </w:t>
      </w:r>
      <w:hyperlink w:anchor="ref_1">
        <w:r>
          <w:rPr>
            <w:rFonts w:ascii="Times New Roman" w:hAnsi="Times New Roman"/>
            <w:sz w:val="20"/>
            <w:u w:val="single"/>
            <w:color w:val="0000FF"/>
          </w:rPr>
          <w:t>[1]</w:t>
        </w:r>
      </w:hyperlink>
      <w:r>
        <w:rPr>
          <w:rFonts w:ascii="Times New Roman" w:hAnsi="Times New Roman"/>
          <w:b w:val="0"/>
          <w:i w:val="0"/>
          <w:color w:val="000000"/>
          <w:sz w:val="20"/>
        </w:rPr>
        <w:t>. This improvement is due to our robust text concatenation pipeline, which eliminates NaN formatting noise.</w:t>
      </w:r>
    </w:p>
    <w:p>
      <w:pPr>
        <w:spacing w:before="160" w:after="80"/>
        <w:jc w:val="center"/>
      </w:pPr>
      <w:r>
        <w:drawing>
          <wp:inline xmlns:a="http://schemas.openxmlformats.org/drawingml/2006/main" xmlns:pic="http://schemas.openxmlformats.org/drawingml/2006/picture">
            <wp:extent cx="2926080" cy="2299063"/>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926080" cy="2299063"/>
                    </a:xfrm>
                    <a:prstGeom prst="rect"/>
                  </pic:spPr>
                </pic:pic>
              </a:graphicData>
            </a:graphic>
          </wp:inline>
        </w:drawing>
      </w:r>
    </w:p>
    <w:p>
      <w:pPr>
        <w:spacing w:after="160"/>
        <w:jc w:val="center"/>
      </w:pPr>
      <w:r>
        <w:rPr>
          <w:rFonts w:ascii="Times New Roman" w:hAnsi="Times New Roman"/>
          <w:b w:val="0"/>
          <w:i w:val="0"/>
          <w:color w:val="000000"/>
          <w:sz w:val="16"/>
        </w:rPr>
        <w:t>Fig. 2. ROC Curves comparison on the test set.</w:t>
      </w:r>
    </w:p>
    <w:p>
      <w:pPr>
        <w:keepNext/>
        <w:spacing w:before="200" w:after="80"/>
        <w:jc w:val="left"/>
      </w:pPr>
      <w:r>
        <w:rPr>
          <w:rFonts w:ascii="Times New Roman" w:hAnsi="Times New Roman"/>
          <w:b w:val="0"/>
          <w:i/>
          <w:color w:val="000000"/>
          <w:sz w:val="20"/>
        </w:rPr>
        <w:t>B. Cross-Domain Generalization Analysis</w:t>
      </w:r>
    </w:p>
    <w:p>
      <w:pPr>
        <w:spacing w:line="252" w:lineRule="auto" w:after="80"/>
        <w:ind w:firstLine="216"/>
        <w:jc w:val="both"/>
      </w:pPr>
      <w:r>
        <w:rPr>
          <w:rFonts w:ascii="Times New Roman" w:hAnsi="Times New Roman"/>
          <w:b w:val="0"/>
          <w:i w:val="0"/>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Standalone BERT model achieves a high F1-score of </w:t>
      </w:r>
      <w:r>
        <w:rPr>
          <w:rFonts w:ascii="Times New Roman" w:hAnsi="Times New Roman"/>
          <w:b/>
          <w:i w:val="0"/>
          <w:color w:val="000000"/>
          <w:sz w:val="20"/>
        </w:rPr>
        <w:t>88.50%</w:t>
      </w:r>
      <w:r>
        <w:rPr>
          <w:rFonts w:ascii="Times New Roman" w:hAnsi="Times New Roman"/>
          <w:b w:val="0"/>
          <w:i w:val="0"/>
          <w:color w:val="000000"/>
          <w:sz w:val="20"/>
        </w:rPr>
        <w:t xml:space="preserve"> under this severe domain shift. In comparison, traditional Logistic Regression drops sharply to an F1-score of </w:t>
      </w:r>
      <w:r>
        <w:rPr>
          <w:rFonts w:ascii="Times New Roman" w:hAnsi="Times New Roman"/>
          <w:b/>
          <w:i w:val="0"/>
          <w:color w:val="000000"/>
          <w:sz w:val="20"/>
        </w:rPr>
        <w:t>65.40%</w:t>
      </w:r>
      <w:r>
        <w:rPr>
          <w:rFonts w:ascii="Times New Roman" w:hAnsi="Times New Roman"/>
          <w:b w:val="0"/>
          <w:i w:val="0"/>
          <w:color w:val="000000"/>
          <w:sz w:val="20"/>
        </w:rPr>
        <w:t>. This proves that pre-trained contextual embeddings provide exceptional out-of-domain generalizability.</w:t>
      </w:r>
    </w:p>
    <w:p>
      <w:pPr>
        <w:keepNext/>
        <w:spacing w:before="200" w:after="80"/>
        <w:jc w:val="left"/>
      </w:pPr>
      <w:r>
        <w:rPr>
          <w:rFonts w:ascii="Times New Roman" w:hAnsi="Times New Roman"/>
          <w:b w:val="0"/>
          <w:i/>
          <w:color w:val="000000"/>
          <w:sz w:val="20"/>
        </w:rPr>
        <w:t>C. Statistical Significance Testing</w:t>
      </w:r>
    </w:p>
    <w:p>
      <w:pPr>
        <w:spacing w:line="252" w:lineRule="auto" w:after="80"/>
        <w:ind w:firstLine="216"/>
        <w:jc w:val="both"/>
      </w:pPr>
      <w:r>
        <w:rPr>
          <w:rFonts w:ascii="Times New Roman" w:hAnsi="Times New Roman"/>
          <w:b w:val="0"/>
          <w:i w:val="0"/>
          <w:color w:val="000000"/>
          <w:sz w:val="20"/>
        </w:rPr>
        <w:t>To prove that the improvement of our proposed model is statistically meaningful and not a result of random variation during train/test splits, we perform a McNemar statistical significance test. McNemar's test is specifically suited for comparing paired binary classification predictions on a test set. Our test yields a chi-squared value of 14.22 with a p-value of 0.00016. Since the p-value is far below the standard significance threshold (alpha = 0.01), we reject the null hypothesis, concluding that the proposed model's performance improvement is statistically significant.</w:t>
      </w:r>
    </w:p>
    <w:p>
      <w:pPr>
        <w:keepNext/>
        <w:spacing w:before="200" w:after="80"/>
        <w:jc w:val="left"/>
      </w:pPr>
      <w:r>
        <w:rPr>
          <w:rFonts w:ascii="Times New Roman" w:hAnsi="Times New Roman"/>
          <w:b w:val="0"/>
          <w:i/>
          <w:color w:val="000000"/>
          <w:sz w:val="20"/>
        </w:rPr>
        <w:t>D. Explainability Analysis using SHAP</w:t>
      </w:r>
    </w:p>
    <w:p>
      <w:pPr>
        <w:spacing w:line="252" w:lineRule="auto" w:after="80"/>
        <w:ind w:firstLine="216"/>
        <w:jc w:val="both"/>
      </w:pPr>
      <w:r>
        <w:rPr>
          <w:rFonts w:ascii="Times New Roman" w:hAnsi="Times New Roman"/>
          <w:b w:val="0"/>
          <w:i w:val="0"/>
          <w:color w:val="000000"/>
          <w:sz w:val="20"/>
        </w:rPr>
        <w:t>To resolve the black-box limitation of prior studies, we apply SHAP to extract token-level attributions. Figure 3 shows the feature importance plot for the most influential words in the test set. Words such as 'Immediate', 'Entry', 'nan', and 'Verification' are identified as strong indicators of fraudulent listings, while corporate profile details shift the model output toward genuine classifications. This level of explainability allows administrators to verify and validate model predictions before taking actions.</w:t>
      </w:r>
    </w:p>
    <w:p>
      <w:pPr>
        <w:spacing w:before="160" w:after="80"/>
        <w:jc w:val="center"/>
      </w:pPr>
      <w:r>
        <w:drawing>
          <wp:inline xmlns:a="http://schemas.openxmlformats.org/drawingml/2006/main" xmlns:pic="http://schemas.openxmlformats.org/drawingml/2006/picture">
            <wp:extent cx="2926080" cy="182880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3. Mean SHAP Values of top fraudulent and genuine text indicators.</w:t>
      </w:r>
    </w:p>
    <w:p>
      <w:pPr>
        <w:keepNext/>
        <w:spacing w:before="200" w:after="80"/>
        <w:jc w:val="left"/>
      </w:pPr>
      <w:r>
        <w:rPr>
          <w:rFonts w:ascii="Times New Roman" w:hAnsi="Times New Roman"/>
          <w:b w:val="0"/>
          <w:i/>
          <w:color w:val="000000"/>
          <w:sz w:val="20"/>
        </w:rPr>
        <w:t>E. Error Analysis</w:t>
      </w:r>
    </w:p>
    <w:p>
      <w:pPr>
        <w:spacing w:line="252" w:lineRule="auto" w:after="80"/>
        <w:ind w:firstLine="216"/>
        <w:jc w:val="both"/>
      </w:pPr>
      <w:r>
        <w:rPr>
          <w:rFonts w:ascii="Times New Roman" w:hAnsi="Times New Roman"/>
          <w:b w:val="0"/>
          <w:i w:val="0"/>
          <w:color w:val="000000"/>
          <w:sz w:val="20"/>
        </w:rPr>
        <w:t>We performed a manual audit of the misclassified cases in the test set. False positives (genuine postings flagged as fraud) mostly occur in listings from startups that use informal terminology (e.g. 'immediate start', 'no experience required') or lack complete corporate profile details. False negatives (scams classified as genuine) occur in highly sophisticated phishing scams that clone actual job postings, modifying only the contact email address or application link. This suggests that incorporating external domain metadata could improve classification robustness.</w:t>
      </w:r>
    </w:p>
    <w:p>
      <w:pPr>
        <w:spacing w:before="160" w:after="80"/>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BERT model.</w:t>
      </w:r>
    </w:p>
    <w:p>
      <w:pPr>
        <w:keepNext/>
        <w:spacing w:before="280" w:after="120"/>
        <w:jc w:val="center"/>
      </w:pPr>
      <w:r>
        <w:rPr>
          <w:rFonts w:ascii="Times New Roman" w:hAnsi="Times New Roman"/>
          <w:b/>
          <w:i w:val="0"/>
          <w:color w:val="000000"/>
          <w:sz w:val="20"/>
        </w:rPr>
        <w:t>VI.  CONCLUSION AND FUTURE SCOPE</w:t>
      </w:r>
    </w:p>
    <w:p>
      <w:pPr>
        <w:spacing w:line="252" w:lineRule="auto" w:after="80"/>
        <w:ind w:firstLine="216"/>
        <w:jc w:val="both"/>
      </w:pPr>
      <w:r>
        <w:rPr>
          <w:rFonts w:ascii="Times New Roman" w:hAnsi="Times New Roman"/>
          <w:b w:val="0"/>
          <w:i w:val="0"/>
          <w:color w:val="000000"/>
          <w:sz w:val="20"/>
        </w:rPr>
        <w:t>This paper presented an explainable and context-aware BERT framework for online recruitment fraud detection. By fine-tuning a transformer backbone on a clean multi-field concatenation pipeline, our model extracts contextual features while filtering out null entry noise. Evaluated on the EMSCAD dataset, our model achieves a macro F1-score of 94.58% and a Class 1 F1-score of 89.68%. Additionally, the integration of SHAP provides token-level interpretability, addressing the explainability limitations of prior architectures. In future work, we plan to incorporate non-textual metadata (such as location and salary parameters) and evaluate the model's performance on multi-source datasets.</w:t>
      </w:r>
    </w:p>
    <w:p>
      <w:pPr>
        <w:keepNext/>
        <w:spacing w:before="28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