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An Explainable and Sequence-Preserving BERT-BiLSTM Framework for</w:t>
        <w:br/>
        <w:t>Online Recruitment Fraud Detection</w:t>
      </w:r>
    </w:p>
    <w:p>
      <w:pPr>
        <w:spacing w:after="360"/>
        <w:jc w:val="center"/>
      </w:pPr>
      <w:r>
        <w:rPr>
          <w:rFonts w:ascii="Times New Roman" w:hAnsi="Times New Roman"/>
          <w:b w:val="0"/>
          <w:i w:val="0"/>
          <w:color w:val="000000"/>
          <w:sz w:val="22"/>
        </w:rPr>
        <w:t>Akhilesh</w:t>
        <w:br/>
        <w:t>Department of Computer Science and Engineering</w:t>
        <w:br/>
        <w:t>M.Sc. (Data Science)</w:t>
        <w:br/>
        <w:t>India</w:t>
        <w:br/>
        <w:t>email@example.com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job portals streamline the recruitment process but also host fraudulent postings that aim to harvest personal information or extort money from candidates. Detecting these fraudulent ads manually is challenging because they closely mimic legitimate listings. Traditional machine learning models fail to capture contextual nuances, while standard deep learning approaches discard token sequence dependencies by relying only on static representations or single classification vectors. This study proposes an explainable, sequence-preserving hybrid framework combining Bidirectional Encoder Representations from Transformers (BERT) and Bidirectional Long Short-Term Memory (Bi-LSTM) to detect fake jobs. The proposed model extracts context-rich word embeddings from the full token sequence using a fine-tuned bert-base-uncased backbone, which are then processed by a 2-layer Bi-LSTM layer to retain sequential semantics. We address severe class imbalance using a class-weighted binary cross-entropy loss function. Additionally, we resolve the black-box limitation of transformer classifiers by integrating SHAP (SHapley Additive exPlanations) for token-level visual explainability. Experimental evaluations on the EMSCAD dataset show that the proposed BERT-BiLSTM framework achieves a classification accuracy of 98.91%, a Class 1 (Fraudulent) F1-score of 88.22%, and a ROC-AUC of 98.75%, while providing transparent explanations for recruitment platform administrators.</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Deep Learning, Explainable AI, SHAP.</w:t>
      </w:r>
    </w:p>
    <w:p>
      <w:pPr>
        <w:keepNext/>
        <w:spacing w:before="24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Recruitment boards like Indeed, LinkedIn, and Glassdoor have changed the job search process, making it easier for candidates to connect with organizations. However, this open digital ecosystem is also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deceptive job announcements to obtain sensitive applicant data, such as national identification numbers and banking credentials, or to extract payments for visa documentation or training programs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identifying them manually is slow and error-prone.</w:t>
      </w:r>
    </w:p>
    <w:p>
      <w:pPr>
        <w:spacing w:line="252" w:lineRule="auto" w:after="80"/>
        <w:ind w:firstLine="216"/>
        <w:jc w:val="both"/>
      </w:pPr>
      <w:r>
        <w:rPr>
          <w:rFonts w:ascii="Times New Roman" w:hAnsi="Times New Roman"/>
          <w:b w:val="0"/>
          <w:i w:val="0"/>
          <w:color w:val="000000"/>
          <w:sz w:val="20"/>
        </w:rPr>
        <w:t xml:space="preserve">Early attempts to automate fake job detection relied on classical machine learning classifiers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use Bag-of-Words or TF-IDF representations, which generate high-dimensional vectors that completely ignore word order and context. Later models adopted recurrent networks (LSTMs or GRUs) with pre-trained word representations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Although they process sequential data, static embeddings assign the same vector to a word regardless of its context, limiting classification performance on nuanced text.</w:t>
      </w:r>
    </w:p>
    <w:p>
      <w:pPr>
        <w:spacing w:line="252" w:lineRule="auto" w:after="80"/>
        <w:ind w:firstLine="216"/>
        <w:jc w:val="both"/>
      </w:pPr>
      <w:r>
        <w:rPr>
          <w:rFonts w:ascii="Times New Roman" w:hAnsi="Times New Roman"/>
          <w:b w:val="0"/>
          <w:i w:val="0"/>
          <w:color w:val="000000"/>
          <w:sz w:val="20"/>
        </w:rPr>
        <w:t xml:space="preserve">The introduction of Transformer-based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BERT utilizes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act as black boxes, which prevents developers from explaining </w:t>
      </w:r>
      <w:r>
        <w:rPr>
          <w:rFonts w:ascii="Times New Roman" w:hAnsi="Times New Roman"/>
          <w:b w:val="0"/>
          <w:i/>
          <w:color w:val="000000"/>
          <w:sz w:val="20"/>
        </w:rPr>
        <w:t>why</w:t>
      </w:r>
      <w:r>
        <w:rPr>
          <w:rFonts w:ascii="Times New Roman" w:hAnsi="Times New Roman"/>
          <w:b w:val="0"/>
          <w:i w:val="0"/>
          <w:color w:val="000000"/>
          <w:sz w:val="20"/>
        </w:rPr>
        <w:t xml:space="preserve"> a particular listing was flagged as fraudulent.</w:t>
      </w:r>
    </w:p>
    <w:p>
      <w:pPr>
        <w:spacing w:line="252" w:lineRule="auto" w:after="8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model. Our framework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We validate our model via ablation experiments and error analyses to verify its performance.</w:t>
      </w:r>
    </w:p>
    <w:p>
      <w:pPr>
        <w:keepNext/>
        <w:spacing w:before="24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16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classifiers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(VADER/TextBlob) to model the emotional tone of descriptions, achieving highly accurate classifications.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80"/>
        <w:ind w:firstLine="216"/>
        <w:jc w:val="both"/>
      </w:pPr>
      <w:r>
        <w:rPr>
          <w:rFonts w:ascii="Times New Roman" w:hAnsi="Times New Roman"/>
          <w:b w:val="0"/>
          <w:i w:val="0"/>
          <w:color w:val="000000"/>
          <w:sz w:val="20"/>
        </w:rPr>
        <w:t xml:space="preserve">More recently, hybrid frameworks have been explored. Srilakshmi et al.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and Varshitha et al. </w:t>
      </w:r>
      <w:hyperlink w:anchor="ref_8">
        <w:r>
          <w:rPr>
            <w:rFonts w:ascii="Times New Roman" w:hAnsi="Times New Roman"/>
            <w:sz w:val="20"/>
            <w:u w:val="single"/>
            <w:color w:val="0000FF"/>
          </w:rPr>
          <w:t>[8]</w:t>
        </w:r>
      </w:hyperlink>
      <w:r>
        <w:rPr>
          <w:rFonts w:ascii="Times New Roman" w:hAnsi="Times New Roman"/>
          <w:b w:val="0"/>
          <w:i w:val="0"/>
          <w:color w:val="000000"/>
          <w:sz w:val="20"/>
        </w:rPr>
        <w:t xml:space="preserve"> proposed architectures combining BERT/RoBERTa with a 2D Convolutional Neural Network (CNN2D) classifier, using oversampling methods (SMOTE/SMOBD) to mitigate dataset imbalance. While CNN2D models excel at capturing local spatial patterns, they are less suited than Bi-LSTMs for modeling the continuous sequential and temporal dependencies of long textual job advertisements. 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4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framework consists of four main steps: (A) Robust Concatenation, (B) BERT Embedding Extraction, (C) Bi-LSTM Classification, and (D) SHAP Explainability. Figure 1 shows the architecture of our system.</w:t>
      </w:r>
    </w:p>
    <w:p>
      <w:pPr>
        <w:spacing w:before="160" w:after="80"/>
        <w:jc w:val="center"/>
      </w:pPr>
      <w:r>
        <w:drawing>
          <wp:inline xmlns:a="http://schemas.openxmlformats.org/drawingml/2006/main" xmlns:pic="http://schemas.openxmlformats.org/drawingml/2006/picture">
            <wp:extent cx="2926080" cy="489663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926080" cy="4896638"/>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Hybrid BERT-BiLSTM framework.</w:t>
      </w:r>
    </w:p>
    <w:p>
      <w:pPr>
        <w:keepNext/>
        <w:spacing w:before="160" w:after="80"/>
        <w:jc w:val="left"/>
      </w:pPr>
      <w:r>
        <w:rPr>
          <w:rFonts w:ascii="Times New Roman" w:hAnsi="Times New Roman"/>
          <w:b w:val="0"/>
          <w:i/>
          <w:color w:val="000000"/>
          <w:sz w:val="20"/>
        </w:rPr>
        <w:t>A. Robust Concatenation</w:t>
      </w:r>
    </w:p>
    <w:p>
      <w:pPr>
        <w:spacing w:line="252" w:lineRule="auto" w:after="8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120" w:after="120"/>
        <w:jc w:val="center"/>
      </w:pPr>
      <w:r>
        <w:rPr>
          <w:rFonts w:ascii="Times New Roman" w:hAnsi="Times New Roman"/>
          <w:b w:val="0"/>
          <w:i/>
          <w:color w:val="000000"/>
          <w:sz w:val="20"/>
        </w:rPr>
        <w:t>X_i = \prod_{j=1}^{10} [Field_j]</w:t>
        <w:tab/>
        <w:tab/>
      </w:r>
      <w:r>
        <w:rPr>
          <w:rFonts w:ascii="Times New Roman" w:hAnsi="Times New Roman"/>
          <w:b w:val="0"/>
          <w:i w:val="0"/>
          <w:color w:val="000000"/>
          <w:sz w:val="20"/>
        </w:rPr>
        <w:t>(1)</w:t>
      </w:r>
    </w:p>
    <w:p>
      <w:pPr>
        <w:keepNext/>
        <w:spacing w:before="160" w:after="80"/>
        <w:jc w:val="left"/>
      </w:pPr>
      <w:r>
        <w:rPr>
          <w:rFonts w:ascii="Times New Roman" w:hAnsi="Times New Roman"/>
          <w:b w:val="0"/>
          <w:i/>
          <w:color w:val="000000"/>
          <w:sz w:val="20"/>
        </w:rPr>
        <w:t>B. BERT Embedding Extraction</w:t>
      </w:r>
    </w:p>
    <w:p>
      <w:pPr>
        <w:spacing w:line="252" w:lineRule="auto" w:after="8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120" w:after="120"/>
        <w:jc w:val="center"/>
      </w:pPr>
      <w:r>
        <w:rPr>
          <w:rFonts w:ascii="Times New Roman" w:hAnsi="Times New Roman"/>
          <w:b w:val="0"/>
          <w:i/>
          <w:color w:val="000000"/>
          <w:sz w:val="20"/>
        </w:rPr>
        <w:t>H = BERT(I, A) \in \mathbb{R}^{B \times L \times D}</w:t>
        <w:tab/>
        <w:tab/>
      </w:r>
      <w:r>
        <w:rPr>
          <w:rFonts w:ascii="Times New Roman" w:hAnsi="Times New Roman"/>
          <w:b w:val="0"/>
          <w:i w:val="0"/>
          <w:color w:val="000000"/>
          <w:sz w:val="20"/>
        </w:rPr>
        <w:t>(2)</w:t>
      </w:r>
    </w:p>
    <w:p>
      <w:pPr>
        <w:spacing w:line="252" w:lineRule="auto" w:after="8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160" w:after="80"/>
        <w:jc w:val="left"/>
      </w:pPr>
      <w:r>
        <w:rPr>
          <w:rFonts w:ascii="Times New Roman" w:hAnsi="Times New Roman"/>
          <w:b w:val="0"/>
          <w:i/>
          <w:color w:val="000000"/>
          <w:sz w:val="20"/>
        </w:rPr>
        <w:t>C. Bi-LSTM Sequential Classification</w:t>
      </w:r>
    </w:p>
    <w:p>
      <w:pPr>
        <w:spacing w:line="252" w:lineRule="auto" w:after="8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120" w:after="120"/>
        <w:jc w:val="center"/>
      </w:pPr>
      <w:r>
        <w:rPr>
          <w:rFonts w:ascii="Times New Roman" w:hAnsi="Times New Roman"/>
          <w:b w:val="0"/>
          <w:i/>
          <w:color w:val="000000"/>
          <w:sz w:val="20"/>
        </w:rPr>
        <w:t>h_t_fwd = LSTM_fwd(H_t, h_(t-1)_fwd)</w:t>
        <w:tab/>
        <w:tab/>
      </w:r>
      <w:r>
        <w:rPr>
          <w:rFonts w:ascii="Times New Roman" w:hAnsi="Times New Roman"/>
          <w:b w:val="0"/>
          <w:i w:val="0"/>
          <w:color w:val="000000"/>
          <w:sz w:val="20"/>
        </w:rPr>
        <w:t>(3)</w:t>
      </w:r>
    </w:p>
    <w:p>
      <w:pPr>
        <w:spacing w:before="120" w:after="120"/>
        <w:jc w:val="center"/>
      </w:pPr>
      <w:r>
        <w:rPr>
          <w:rFonts w:ascii="Times New Roman" w:hAnsi="Times New Roman"/>
          <w:b w:val="0"/>
          <w:i/>
          <w:color w:val="000000"/>
          <w:sz w:val="20"/>
        </w:rPr>
        <w:t>h_t_bwd = LSTM_bwd(H_t, h_(t+1)_bwd)</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For each token t, the directional hidden states are concatenated to form the complete state:</w:t>
      </w:r>
    </w:p>
    <w:p>
      <w:pPr>
        <w:spacing w:before="120" w:after="120"/>
        <w:jc w:val="center"/>
      </w:pPr>
      <w:r>
        <w:rPr>
          <w:rFonts w:ascii="Times New Roman" w:hAnsi="Times New Roman"/>
          <w:b w:val="0"/>
          <w:i/>
          <w:color w:val="000000"/>
          <w:sz w:val="20"/>
        </w:rPr>
        <w:t>h_t = [h_t_fwd || h_t_bwd] \in \mathbb{R}^{2 \times D_lstm}</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120" w:after="120"/>
        <w:jc w:val="center"/>
      </w:pPr>
      <w:r>
        <w:rPr>
          <w:rFonts w:ascii="Times New Roman" w:hAnsi="Times New Roman"/>
          <w:b w:val="0"/>
          <w:i/>
          <w:color w:val="000000"/>
          <w:sz w:val="20"/>
        </w:rPr>
        <w:t>Z_pooled = [Max_Pool(Y) || Avg_Pool(Y)] \in \mathbb{R}^{4 \times D_lstm}</w:t>
        <w:tab/>
        <w:tab/>
      </w:r>
      <w:r>
        <w:rPr>
          <w:rFonts w:ascii="Times New Roman" w:hAnsi="Times New Roman"/>
          <w:b w:val="0"/>
          <w:i w:val="0"/>
          <w:color w:val="000000"/>
          <w:sz w:val="20"/>
        </w:rPr>
        <w:t>(6)</w:t>
      </w:r>
    </w:p>
    <w:p>
      <w:pPr>
        <w:spacing w:line="252" w:lineRule="auto" w:after="80"/>
        <w:ind w:firstLine="216"/>
        <w:jc w:val="both"/>
      </w:pPr>
      <w:r>
        <w:rPr>
          <w:rFonts w:ascii="Times New Roman" w:hAnsi="Times New Roman"/>
          <w:b w:val="0"/>
          <w:i w:val="0"/>
          <w:color w:val="000000"/>
          <w:sz w:val="20"/>
        </w:rPr>
        <w:t>This representation is passed to a dense dropout classifier to compute the class logits:</w:t>
      </w:r>
    </w:p>
    <w:p>
      <w:pPr>
        <w:spacing w:before="120" w:after="120"/>
        <w:jc w:val="center"/>
      </w:pPr>
      <w:r>
        <w:rPr>
          <w:rFonts w:ascii="Times New Roman" w:hAnsi="Times New Roman"/>
          <w:b w:val="0"/>
          <w:i/>
          <w:color w:val="000000"/>
          <w:sz w:val="20"/>
        </w:rPr>
        <w:t>\hat{y} = Linear(ReLU(Dropout(Linear(Z_pooled))))</w:t>
        <w:tab/>
        <w:tab/>
      </w:r>
      <w:r>
        <w:rPr>
          <w:rFonts w:ascii="Times New Roman" w:hAnsi="Times New Roman"/>
          <w:b w:val="0"/>
          <w:i w:val="0"/>
          <w:color w:val="000000"/>
          <w:sz w:val="20"/>
        </w:rPr>
        <w:t>(7)</w:t>
      </w:r>
    </w:p>
    <w:p>
      <w:pPr>
        <w:spacing w:line="252" w:lineRule="auto" w:after="8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120" w:after="120"/>
        <w:jc w:val="center"/>
      </w:pPr>
      <w:r>
        <w:rPr>
          <w:rFonts w:ascii="Times New Roman" w:hAnsi="Times New Roman"/>
          <w:b w:val="0"/>
          <w:i/>
          <w:color w:val="000000"/>
          <w:sz w:val="20"/>
        </w:rPr>
        <w:t>L = - [ w_pos \times y log(\sigma(\hat{y})) + (1 - y) log(1 - \sigma(\hat{y})) ]</w:t>
        <w:tab/>
        <w:tab/>
      </w:r>
      <w:r>
        <w:rPr>
          <w:rFonts w:ascii="Times New Roman" w:hAnsi="Times New Roman"/>
          <w:b w:val="0"/>
          <w:i w:val="0"/>
          <w:color w:val="000000"/>
          <w:sz w:val="20"/>
        </w:rPr>
        <w:t>(8)</w:t>
      </w:r>
    </w:p>
    <w:p>
      <w:pPr>
        <w:spacing w:line="252" w:lineRule="auto" w:after="80"/>
        <w:ind w:firstLine="216"/>
        <w:jc w:val="both"/>
      </w:pPr>
      <w:r>
        <w:rPr>
          <w:rFonts w:ascii="Times New Roman" w:hAnsi="Times New Roman"/>
          <w:b w:val="0"/>
          <w:i w:val="0"/>
          <w:color w:val="000000"/>
          <w:sz w:val="20"/>
        </w:rPr>
        <w:t>where we set w_pos = 3.5 to penalize false negatives and improve recall.</w:t>
      </w:r>
    </w:p>
    <w:p>
      <w:pPr>
        <w:keepNext/>
        <w:spacing w:before="160" w:after="80"/>
        <w:jc w:val="left"/>
      </w:pPr>
      <w:r>
        <w:rPr>
          <w:rFonts w:ascii="Times New Roman" w:hAnsi="Times New Roman"/>
          <w:b w:val="0"/>
          <w:i/>
          <w:color w:val="000000"/>
          <w:sz w:val="20"/>
        </w:rPr>
        <w:t>D. Explainable AI using SHAP</w:t>
      </w:r>
    </w:p>
    <w:p>
      <w:pPr>
        <w:spacing w:line="252" w:lineRule="auto" w:after="8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120" w:after="12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8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40" w:after="120"/>
        <w:jc w:val="center"/>
      </w:pPr>
      <w:r>
        <w:rPr>
          <w:rFonts w:ascii="Times New Roman" w:hAnsi="Times New Roman"/>
          <w:b/>
          <w:i w:val="0"/>
          <w:color w:val="000000"/>
          <w:sz w:val="20"/>
        </w:rPr>
        <w:t>IV.  EXPERIMENTAL SETUP</w:t>
      </w:r>
    </w:p>
    <w:p>
      <w:pPr>
        <w:keepNext/>
        <w:spacing w:before="160" w:after="80"/>
        <w:jc w:val="left"/>
      </w:pPr>
      <w:r>
        <w:rPr>
          <w:rFonts w:ascii="Times New Roman" w:hAnsi="Times New Roman"/>
          <w:b w:val="0"/>
          <w:i/>
          <w:color w:val="000000"/>
          <w:sz w:val="20"/>
        </w:rPr>
        <w:t>A. Dataset</w:t>
      </w:r>
    </w:p>
    <w:p>
      <w:pPr>
        <w:spacing w:line="252" w:lineRule="auto" w:after="8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80"/>
        <w:jc w:val="left"/>
      </w:pPr>
      <w:r>
        <w:rPr>
          <w:rFonts w:ascii="Times New Roman" w:hAnsi="Times New Roman"/>
          <w:b w:val="0"/>
          <w:i/>
          <w:color w:val="000000"/>
          <w:sz w:val="20"/>
        </w:rPr>
        <w:t>B. Hardware and Hyperparameters</w:t>
      </w:r>
    </w:p>
    <w:p>
      <w:pPr>
        <w:spacing w:line="252" w:lineRule="auto" w:after="8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w:t>
      </w:r>
    </w:p>
    <w:p>
      <w:pPr>
        <w:keepNext/>
        <w:spacing w:before="16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(3) Standard Bi-LSTM, (4) Standalone BERT Classifier (Fraud-BERT replica), and (5) Standalone RoBERTa Classifier.</w:t>
      </w:r>
    </w:p>
    <w:p>
      <w:pPr>
        <w:keepNext/>
        <w:spacing w:before="240" w:after="120"/>
        <w:jc w:val="center"/>
      </w:pPr>
      <w:r>
        <w:rPr>
          <w:rFonts w:ascii="Times New Roman" w:hAnsi="Times New Roman"/>
          <w:b/>
          <w:i w:val="0"/>
          <w:color w:val="000000"/>
          <w:sz w:val="20"/>
        </w:rPr>
        <w:t>V.  RESULTS AND DISCUSSION</w:t>
      </w:r>
    </w:p>
    <w:p>
      <w:pPr>
        <w:keepNext/>
        <w:spacing w:before="16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performance of all models on the test set is summarized in Table I. We report both Class 1 (Fraudulent) metrics and Macro-average metrics to allow a direct comparison with the SOTA baseline paper.</w:t>
      </w:r>
    </w:p>
    <w:tbl>
      <w:tblPr>
        <w:tblStyle w:val="LightShading-Accent1"/>
        <w:tblW w:type="auto" w:w="0"/>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1160"/>
          </w:tcPr>
          <w:p>
            <w:pPr>
              <w:jc w:val="center"/>
            </w:pPr>
            <w:r>
              <w:rPr>
                <w:rFonts w:ascii="Times New Roman" w:hAnsi="Times New Roman"/>
                <w:b/>
                <w:i w:val="0"/>
                <w:color w:val="000000"/>
                <w:sz w:val="16"/>
              </w:rPr>
              <w:t>Model</w:t>
            </w:r>
          </w:p>
        </w:tc>
        <w:tc>
          <w:tcPr>
            <w:tcW w:type="dxa" w:w="1160"/>
          </w:tcPr>
          <w:p>
            <w:pPr>
              <w:jc w:val="center"/>
            </w:pPr>
            <w:r>
              <w:rPr>
                <w:rFonts w:ascii="Times New Roman" w:hAnsi="Times New Roman"/>
                <w:b/>
                <w:i w:val="0"/>
                <w:color w:val="000000"/>
                <w:sz w:val="16"/>
              </w:rPr>
              <w:t>Acc</w:t>
            </w:r>
          </w:p>
        </w:tc>
        <w:tc>
          <w:tcPr>
            <w:tcW w:type="dxa" w:w="1160"/>
          </w:tcPr>
          <w:p>
            <w:pPr>
              <w:jc w:val="center"/>
            </w:pPr>
            <w:r>
              <w:rPr>
                <w:rFonts w:ascii="Times New Roman" w:hAnsi="Times New Roman"/>
                <w:b/>
                <w:i w:val="0"/>
                <w:color w:val="000000"/>
                <w:sz w:val="16"/>
              </w:rPr>
              <w:t>Prec(1)</w:t>
            </w:r>
          </w:p>
        </w:tc>
        <w:tc>
          <w:tcPr>
            <w:tcW w:type="dxa" w:w="1160"/>
          </w:tcPr>
          <w:p>
            <w:pPr>
              <w:jc w:val="center"/>
            </w:pPr>
            <w:r>
              <w:rPr>
                <w:rFonts w:ascii="Times New Roman" w:hAnsi="Times New Roman"/>
                <w:b/>
                <w:i w:val="0"/>
                <w:color w:val="000000"/>
                <w:sz w:val="16"/>
              </w:rPr>
              <w:t>Rec(1)</w:t>
            </w:r>
          </w:p>
        </w:tc>
        <w:tc>
          <w:tcPr>
            <w:tcW w:type="dxa" w:w="1160"/>
          </w:tcPr>
          <w:p>
            <w:pPr>
              <w:jc w:val="center"/>
            </w:pPr>
            <w:r>
              <w:rPr>
                <w:rFonts w:ascii="Times New Roman" w:hAnsi="Times New Roman"/>
                <w:b/>
                <w:i w:val="0"/>
                <w:color w:val="000000"/>
                <w:sz w:val="16"/>
              </w:rPr>
              <w:t>F1(1)</w:t>
            </w:r>
          </w:p>
        </w:tc>
        <w:tc>
          <w:tcPr>
            <w:tcW w:type="dxa" w:w="1160"/>
          </w:tcPr>
          <w:p>
            <w:pPr>
              <w:jc w:val="center"/>
            </w:pPr>
            <w:r>
              <w:rPr>
                <w:rFonts w:ascii="Times New Roman" w:hAnsi="Times New Roman"/>
                <w:b/>
                <w:i w:val="0"/>
                <w:color w:val="000000"/>
                <w:sz w:val="16"/>
              </w:rPr>
              <w:t>AUC</w:t>
            </w:r>
          </w:p>
        </w:tc>
        <w:tc>
          <w:tcPr>
            <w:tcW w:type="dxa" w:w="1160"/>
          </w:tcPr>
          <w:p>
            <w:pPr>
              <w:jc w:val="center"/>
            </w:pPr>
            <w:r>
              <w:rPr>
                <w:rFonts w:ascii="Times New Roman" w:hAnsi="Times New Roman"/>
                <w:b/>
                <w:i w:val="0"/>
                <w:color w:val="000000"/>
                <w:sz w:val="16"/>
              </w:rPr>
              <w:t>Macro P</w:t>
            </w:r>
          </w:p>
        </w:tc>
        <w:tc>
          <w:tcPr>
            <w:tcW w:type="dxa" w:w="1160"/>
          </w:tcPr>
          <w:p>
            <w:pPr>
              <w:jc w:val="center"/>
            </w:pPr>
            <w:r>
              <w:rPr>
                <w:rFonts w:ascii="Times New Roman" w:hAnsi="Times New Roman"/>
                <w:b/>
                <w:i w:val="0"/>
                <w:color w:val="000000"/>
                <w:sz w:val="16"/>
              </w:rPr>
              <w:t>Macro R</w:t>
            </w:r>
          </w:p>
        </w:tc>
        <w:tc>
          <w:tcPr>
            <w:tcW w:type="dxa" w:w="1160"/>
          </w:tcPr>
          <w:p>
            <w:pPr>
              <w:jc w:val="center"/>
            </w:pPr>
            <w:r>
              <w:rPr>
                <w:rFonts w:ascii="Times New Roman" w:hAnsi="Times New Roman"/>
                <w:b/>
                <w:i w:val="0"/>
                <w:color w:val="000000"/>
                <w:sz w:val="16"/>
              </w:rPr>
              <w:t>Macro F1</w:t>
            </w:r>
          </w:p>
        </w:tc>
      </w:tr>
      <w:tr>
        <w:tc>
          <w:tcPr>
            <w:tcW w:type="dxa" w:w="1160"/>
          </w:tcPr>
          <w:p>
            <w:pPr>
              <w:jc w:val="left"/>
            </w:pPr>
            <w:r>
              <w:rPr>
                <w:rFonts w:ascii="Times New Roman" w:hAnsi="Times New Roman"/>
                <w:b w:val="0"/>
                <w:i w:val="0"/>
                <w:color w:val="000000"/>
                <w:sz w:val="16"/>
              </w:rPr>
              <w:t>Logistic Regression</w:t>
            </w:r>
          </w:p>
        </w:tc>
        <w:tc>
          <w:tcPr>
            <w:tcW w:type="dxa" w:w="1160"/>
          </w:tcPr>
          <w:p>
            <w:pPr>
              <w:jc w:val="center"/>
            </w:pPr>
            <w:r>
              <w:rPr>
                <w:rFonts w:ascii="Times New Roman" w:hAnsi="Times New Roman"/>
                <w:b w:val="0"/>
                <w:i w:val="0"/>
                <w:color w:val="000000"/>
                <w:sz w:val="16"/>
              </w:rPr>
              <w:t>96.84%</w:t>
            </w:r>
          </w:p>
        </w:tc>
        <w:tc>
          <w:tcPr>
            <w:tcW w:type="dxa" w:w="1160"/>
          </w:tcPr>
          <w:p>
            <w:pPr>
              <w:jc w:val="center"/>
            </w:pPr>
            <w:r>
              <w:rPr>
                <w:rFonts w:ascii="Times New Roman" w:hAnsi="Times New Roman"/>
                <w:b w:val="0"/>
                <w:i w:val="0"/>
                <w:color w:val="000000"/>
                <w:sz w:val="16"/>
              </w:rPr>
              <w:t>62.10%</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73.16%</w:t>
            </w:r>
          </w:p>
        </w:tc>
        <w:tc>
          <w:tcPr>
            <w:tcW w:type="dxa" w:w="1160"/>
          </w:tcPr>
          <w:p>
            <w:pPr>
              <w:jc w:val="center"/>
            </w:pPr>
            <w:r>
              <w:rPr>
                <w:rFonts w:ascii="Times New Roman" w:hAnsi="Times New Roman"/>
                <w:b w:val="0"/>
                <w:i w:val="0"/>
                <w:color w:val="000000"/>
                <w:sz w:val="16"/>
              </w:rPr>
              <w:t>98.64%</w:t>
            </w:r>
          </w:p>
        </w:tc>
        <w:tc>
          <w:tcPr>
            <w:tcW w:type="dxa" w:w="1160"/>
          </w:tcPr>
          <w:p>
            <w:pPr>
              <w:jc w:val="center"/>
            </w:pPr>
            <w:r>
              <w:rPr>
                <w:rFonts w:ascii="Times New Roman" w:hAnsi="Times New Roman"/>
                <w:b w:val="0"/>
                <w:i w:val="0"/>
                <w:color w:val="000000"/>
                <w:sz w:val="16"/>
              </w:rPr>
              <w:t>80.50%</w:t>
            </w:r>
          </w:p>
        </w:tc>
        <w:tc>
          <w:tcPr>
            <w:tcW w:type="dxa" w:w="1160"/>
          </w:tcPr>
          <w:p>
            <w:pPr>
              <w:jc w:val="center"/>
            </w:pPr>
            <w:r>
              <w:rPr>
                <w:rFonts w:ascii="Times New Roman" w:hAnsi="Times New Roman"/>
                <w:b w:val="0"/>
                <w:i w:val="0"/>
                <w:color w:val="000000"/>
                <w:sz w:val="16"/>
              </w:rPr>
              <w:t>93.00%</w:t>
            </w:r>
          </w:p>
        </w:tc>
        <w:tc>
          <w:tcPr>
            <w:tcW w:type="dxa" w:w="1160"/>
          </w:tcPr>
          <w:p>
            <w:pPr>
              <w:jc w:val="center"/>
            </w:pPr>
            <w:r>
              <w:rPr>
                <w:rFonts w:ascii="Times New Roman" w:hAnsi="Times New Roman"/>
                <w:b w:val="0"/>
                <w:i w:val="0"/>
                <w:color w:val="000000"/>
                <w:sz w:val="16"/>
              </w:rPr>
              <w:t>85.50%</w:t>
            </w:r>
          </w:p>
        </w:tc>
      </w:tr>
      <w:tr>
        <w:tc>
          <w:tcPr>
            <w:tcW w:type="dxa" w:w="1160"/>
          </w:tcPr>
          <w:p>
            <w:pPr>
              <w:jc w:val="left"/>
            </w:pPr>
            <w:r>
              <w:rPr>
                <w:rFonts w:ascii="Times New Roman" w:hAnsi="Times New Roman"/>
                <w:b w:val="0"/>
                <w:i w:val="0"/>
                <w:color w:val="000000"/>
                <w:sz w:val="16"/>
              </w:rPr>
              <w:t>Random Forest</w:t>
            </w:r>
          </w:p>
        </w:tc>
        <w:tc>
          <w:tcPr>
            <w:tcW w:type="dxa" w:w="1160"/>
          </w:tcPr>
          <w:p>
            <w:pPr>
              <w:jc w:val="center"/>
            </w:pPr>
            <w:r>
              <w:rPr>
                <w:rFonts w:ascii="Times New Roman" w:hAnsi="Times New Roman"/>
                <w:b w:val="0"/>
                <w:i w:val="0"/>
                <w:color w:val="000000"/>
                <w:sz w:val="16"/>
              </w:rPr>
              <w:t>97.85%</w:t>
            </w:r>
          </w:p>
        </w:tc>
        <w:tc>
          <w:tcPr>
            <w:tcW w:type="dxa" w:w="1160"/>
          </w:tcPr>
          <w:p>
            <w:pPr>
              <w:jc w:val="center"/>
            </w:pPr>
            <w:r>
              <w:rPr>
                <w:rFonts w:ascii="Times New Roman" w:hAnsi="Times New Roman"/>
                <w:b w:val="0"/>
                <w:i w:val="0"/>
                <w:color w:val="000000"/>
                <w:sz w:val="16"/>
              </w:rPr>
              <w:t>100.00%</w:t>
            </w:r>
          </w:p>
        </w:tc>
        <w:tc>
          <w:tcPr>
            <w:tcW w:type="dxa" w:w="1160"/>
          </w:tcPr>
          <w:p>
            <w:pPr>
              <w:jc w:val="center"/>
            </w:pPr>
            <w:r>
              <w:rPr>
                <w:rFonts w:ascii="Times New Roman" w:hAnsi="Times New Roman"/>
                <w:b w:val="0"/>
                <w:i w:val="0"/>
                <w:color w:val="000000"/>
                <w:sz w:val="16"/>
              </w:rPr>
              <w:t>55.49%</w:t>
            </w:r>
          </w:p>
        </w:tc>
        <w:tc>
          <w:tcPr>
            <w:tcW w:type="dxa" w:w="1160"/>
          </w:tcPr>
          <w:p>
            <w:pPr>
              <w:jc w:val="center"/>
            </w:pPr>
            <w:r>
              <w:rPr>
                <w:rFonts w:ascii="Times New Roman" w:hAnsi="Times New Roman"/>
                <w:b w:val="0"/>
                <w:i w:val="0"/>
                <w:color w:val="000000"/>
                <w:sz w:val="16"/>
              </w:rPr>
              <w:t>71.38%</w:t>
            </w:r>
          </w:p>
        </w:tc>
        <w:tc>
          <w:tcPr>
            <w:tcW w:type="dxa" w:w="1160"/>
          </w:tcPr>
          <w:p>
            <w:pPr>
              <w:jc w:val="center"/>
            </w:pPr>
            <w:r>
              <w:rPr>
                <w:rFonts w:ascii="Times New Roman" w:hAnsi="Times New Roman"/>
                <w:b w:val="0"/>
                <w:i w:val="0"/>
                <w:color w:val="000000"/>
                <w:sz w:val="16"/>
              </w:rPr>
              <w:t>98.87%</w:t>
            </w:r>
          </w:p>
        </w:tc>
        <w:tc>
          <w:tcPr>
            <w:tcW w:type="dxa" w:w="1160"/>
          </w:tcPr>
          <w:p>
            <w:pPr>
              <w:jc w:val="center"/>
            </w:pPr>
            <w:r>
              <w:rPr>
                <w:rFonts w:ascii="Times New Roman" w:hAnsi="Times New Roman"/>
                <w:b w:val="0"/>
                <w:i w:val="0"/>
                <w:color w:val="000000"/>
                <w:sz w:val="16"/>
              </w:rPr>
              <w:t>99.00%</w:t>
            </w:r>
          </w:p>
        </w:tc>
        <w:tc>
          <w:tcPr>
            <w:tcW w:type="dxa" w:w="1160"/>
          </w:tcPr>
          <w:p>
            <w:pPr>
              <w:jc w:val="center"/>
            </w:pPr>
            <w:r>
              <w:rPr>
                <w:rFonts w:ascii="Times New Roman" w:hAnsi="Times New Roman"/>
                <w:b w:val="0"/>
                <w:i w:val="0"/>
                <w:color w:val="000000"/>
                <w:sz w:val="16"/>
              </w:rPr>
              <w:t>77.74%</w:t>
            </w:r>
          </w:p>
        </w:tc>
        <w:tc>
          <w:tcPr>
            <w:tcW w:type="dxa" w:w="1160"/>
          </w:tcPr>
          <w:p>
            <w:pPr>
              <w:jc w:val="center"/>
            </w:pPr>
            <w:r>
              <w:rPr>
                <w:rFonts w:ascii="Times New Roman" w:hAnsi="Times New Roman"/>
                <w:b w:val="0"/>
                <w:i w:val="0"/>
                <w:color w:val="000000"/>
                <w:sz w:val="16"/>
              </w:rPr>
              <w:t>85.19%</w:t>
            </w:r>
          </w:p>
        </w:tc>
      </w:tr>
      <w:tr>
        <w:tc>
          <w:tcPr>
            <w:tcW w:type="dxa" w:w="1160"/>
          </w:tcPr>
          <w:p>
            <w:pPr>
              <w:jc w:val="left"/>
            </w:pPr>
            <w:r>
              <w:rPr>
                <w:rFonts w:ascii="Times New Roman" w:hAnsi="Times New Roman"/>
                <w:b w:val="0"/>
                <w:i w:val="0"/>
                <w:color w:val="000000"/>
                <w:sz w:val="16"/>
              </w:rPr>
              <w:t>Standard Bi-LSTM</w:t>
            </w:r>
          </w:p>
        </w:tc>
        <w:tc>
          <w:tcPr>
            <w:tcW w:type="dxa" w:w="1160"/>
          </w:tcPr>
          <w:p>
            <w:pPr>
              <w:jc w:val="center"/>
            </w:pPr>
            <w:r>
              <w:rPr>
                <w:rFonts w:ascii="Times New Roman" w:hAnsi="Times New Roman"/>
                <w:b w:val="0"/>
                <w:i w:val="0"/>
                <w:color w:val="000000"/>
                <w:sz w:val="16"/>
              </w:rPr>
              <w:t>98.12%</w:t>
            </w:r>
          </w:p>
        </w:tc>
        <w:tc>
          <w:tcPr>
            <w:tcW w:type="dxa" w:w="1160"/>
          </w:tcPr>
          <w:p>
            <w:pPr>
              <w:jc w:val="center"/>
            </w:pPr>
            <w:r>
              <w:rPr>
                <w:rFonts w:ascii="Times New Roman" w:hAnsi="Times New Roman"/>
                <w:b w:val="0"/>
                <w:i w:val="0"/>
                <w:color w:val="000000"/>
                <w:sz w:val="16"/>
              </w:rPr>
              <w:t>79.45%</w:t>
            </w:r>
          </w:p>
        </w:tc>
        <w:tc>
          <w:tcPr>
            <w:tcW w:type="dxa" w:w="1160"/>
          </w:tcPr>
          <w:p>
            <w:pPr>
              <w:jc w:val="center"/>
            </w:pPr>
            <w:r>
              <w:rPr>
                <w:rFonts w:ascii="Times New Roman" w:hAnsi="Times New Roman"/>
                <w:b w:val="0"/>
                <w:i w:val="0"/>
                <w:color w:val="000000"/>
                <w:sz w:val="16"/>
              </w:rPr>
              <w:t>81.50%</w:t>
            </w:r>
          </w:p>
        </w:tc>
        <w:tc>
          <w:tcPr>
            <w:tcW w:type="dxa" w:w="1160"/>
          </w:tcPr>
          <w:p>
            <w:pPr>
              <w:jc w:val="center"/>
            </w:pPr>
            <w:r>
              <w:rPr>
                <w:rFonts w:ascii="Times New Roman" w:hAnsi="Times New Roman"/>
                <w:b w:val="0"/>
                <w:i w:val="0"/>
                <w:color w:val="000000"/>
                <w:sz w:val="16"/>
              </w:rPr>
              <w:t>80.46%</w:t>
            </w:r>
          </w:p>
        </w:tc>
        <w:tc>
          <w:tcPr>
            <w:tcW w:type="dxa" w:w="1160"/>
          </w:tcPr>
          <w:p>
            <w:pPr>
              <w:jc w:val="center"/>
            </w:pPr>
            <w:r>
              <w:rPr>
                <w:rFonts w:ascii="Times New Roman" w:hAnsi="Times New Roman"/>
                <w:b w:val="0"/>
                <w:i w:val="0"/>
                <w:color w:val="000000"/>
                <w:sz w:val="16"/>
              </w:rPr>
              <w:t>97.20%</w:t>
            </w:r>
          </w:p>
        </w:tc>
        <w:tc>
          <w:tcPr>
            <w:tcW w:type="dxa" w:w="1160"/>
          </w:tcPr>
          <w:p>
            <w:pPr>
              <w:jc w:val="center"/>
            </w:pPr>
            <w:r>
              <w:rPr>
                <w:rFonts w:ascii="Times New Roman" w:hAnsi="Times New Roman"/>
                <w:b w:val="0"/>
                <w:i w:val="0"/>
                <w:color w:val="000000"/>
                <w:sz w:val="16"/>
              </w:rPr>
              <w:t>89.28%</w:t>
            </w:r>
          </w:p>
        </w:tc>
        <w:tc>
          <w:tcPr>
            <w:tcW w:type="dxa" w:w="1160"/>
          </w:tcPr>
          <w:p>
            <w:pPr>
              <w:jc w:val="center"/>
            </w:pPr>
            <w:r>
              <w:rPr>
                <w:rFonts w:ascii="Times New Roman" w:hAnsi="Times New Roman"/>
                <w:b w:val="0"/>
                <w:i w:val="0"/>
                <w:color w:val="000000"/>
                <w:sz w:val="16"/>
              </w:rPr>
              <w:t>90.48%</w:t>
            </w:r>
          </w:p>
        </w:tc>
        <w:tc>
          <w:tcPr>
            <w:tcW w:type="dxa" w:w="1160"/>
          </w:tcPr>
          <w:p>
            <w:pPr>
              <w:jc w:val="center"/>
            </w:pPr>
            <w:r>
              <w:rPr>
                <w:rFonts w:ascii="Times New Roman" w:hAnsi="Times New Roman"/>
                <w:b w:val="0"/>
                <w:i w:val="0"/>
                <w:color w:val="000000"/>
                <w:sz w:val="16"/>
              </w:rPr>
              <w:t>89.87%</w:t>
            </w:r>
          </w:p>
        </w:tc>
      </w:tr>
      <w:tr>
        <w:tc>
          <w:tcPr>
            <w:tcW w:type="dxa" w:w="1160"/>
          </w:tcPr>
          <w:p>
            <w:pPr>
              <w:jc w:val="left"/>
            </w:pPr>
            <w:r>
              <w:rPr>
                <w:rFonts w:ascii="Times New Roman" w:hAnsi="Times New Roman"/>
                <w:b w:val="0"/>
                <w:i w:val="0"/>
                <w:color w:val="000000"/>
                <w:sz w:val="16"/>
              </w:rPr>
              <w:t>Standalone BERT [1]</w:t>
            </w:r>
          </w:p>
        </w:tc>
        <w:tc>
          <w:tcPr>
            <w:tcW w:type="dxa" w:w="1160"/>
          </w:tcPr>
          <w:p>
            <w:pPr>
              <w:jc w:val="center"/>
            </w:pPr>
            <w:r>
              <w:rPr>
                <w:rFonts w:ascii="Times New Roman" w:hAnsi="Times New Roman"/>
                <w:b w:val="0"/>
                <w:i w:val="0"/>
                <w:color w:val="000000"/>
                <w:sz w:val="16"/>
              </w:rPr>
              <w:t>99.02%</w:t>
            </w:r>
          </w:p>
        </w:tc>
        <w:tc>
          <w:tcPr>
            <w:tcW w:type="dxa" w:w="1160"/>
          </w:tcPr>
          <w:p>
            <w:pPr>
              <w:jc w:val="center"/>
            </w:pPr>
            <w:r>
              <w:rPr>
                <w:rFonts w:ascii="Times New Roman" w:hAnsi="Times New Roman"/>
                <w:b w:val="0"/>
                <w:i w:val="0"/>
                <w:color w:val="000000"/>
                <w:sz w:val="16"/>
              </w:rPr>
              <w:t>91.57%</w:t>
            </w:r>
          </w:p>
        </w:tc>
        <w:tc>
          <w:tcPr>
            <w:tcW w:type="dxa" w:w="1160"/>
          </w:tcPr>
          <w:p>
            <w:pPr>
              <w:jc w:val="center"/>
            </w:pPr>
            <w:r>
              <w:rPr>
                <w:rFonts w:ascii="Times New Roman" w:hAnsi="Times New Roman"/>
                <w:b w:val="0"/>
                <w:i w:val="0"/>
                <w:color w:val="000000"/>
                <w:sz w:val="16"/>
              </w:rPr>
              <w:t>87.86%</w:t>
            </w:r>
          </w:p>
        </w:tc>
        <w:tc>
          <w:tcPr>
            <w:tcW w:type="dxa" w:w="1160"/>
          </w:tcPr>
          <w:p>
            <w:pPr>
              <w:jc w:val="center"/>
            </w:pPr>
            <w:r>
              <w:rPr>
                <w:rFonts w:ascii="Times New Roman" w:hAnsi="Times New Roman"/>
                <w:b w:val="0"/>
                <w:i w:val="0"/>
                <w:color w:val="000000"/>
                <w:sz w:val="16"/>
              </w:rPr>
              <w:t>89.68%</w:t>
            </w:r>
          </w:p>
        </w:tc>
        <w:tc>
          <w:tcPr>
            <w:tcW w:type="dxa" w:w="1160"/>
          </w:tcPr>
          <w:p>
            <w:pPr>
              <w:jc w:val="center"/>
            </w:pPr>
            <w:r>
              <w:rPr>
                <w:rFonts w:ascii="Times New Roman" w:hAnsi="Times New Roman"/>
                <w:b w:val="0"/>
                <w:i w:val="0"/>
                <w:color w:val="000000"/>
                <w:sz w:val="16"/>
              </w:rPr>
              <w:t>99.22%</w:t>
            </w:r>
          </w:p>
        </w:tc>
        <w:tc>
          <w:tcPr>
            <w:tcW w:type="dxa" w:w="1160"/>
          </w:tcPr>
          <w:p>
            <w:pPr>
              <w:jc w:val="center"/>
            </w:pPr>
            <w:r>
              <w:rPr>
                <w:rFonts w:ascii="Times New Roman" w:hAnsi="Times New Roman"/>
                <w:b w:val="0"/>
                <w:i w:val="0"/>
                <w:color w:val="000000"/>
                <w:sz w:val="16"/>
              </w:rPr>
              <w:t>95.48%</w:t>
            </w:r>
          </w:p>
        </w:tc>
        <w:tc>
          <w:tcPr>
            <w:tcW w:type="dxa" w:w="1160"/>
          </w:tcPr>
          <w:p>
            <w:pPr>
              <w:jc w:val="center"/>
            </w:pPr>
            <w:r>
              <w:rPr>
                <w:rFonts w:ascii="Times New Roman" w:hAnsi="Times New Roman"/>
                <w:b w:val="0"/>
                <w:i w:val="0"/>
                <w:color w:val="000000"/>
                <w:sz w:val="16"/>
              </w:rPr>
              <w:t>93.72%</w:t>
            </w:r>
          </w:p>
        </w:tc>
        <w:tc>
          <w:tcPr>
            <w:tcW w:type="dxa" w:w="1160"/>
          </w:tcPr>
          <w:p>
            <w:pPr>
              <w:jc w:val="center"/>
            </w:pPr>
            <w:r>
              <w:rPr>
                <w:rFonts w:ascii="Times New Roman" w:hAnsi="Times New Roman"/>
                <w:b w:val="0"/>
                <w:i w:val="0"/>
                <w:color w:val="000000"/>
                <w:sz w:val="16"/>
              </w:rPr>
              <w:t>94.58%</w:t>
            </w:r>
          </w:p>
        </w:tc>
      </w:tr>
      <w:tr>
        <w:tc>
          <w:tcPr>
            <w:tcW w:type="dxa" w:w="1160"/>
          </w:tcPr>
          <w:p>
            <w:pPr>
              <w:jc w:val="left"/>
            </w:pPr>
            <w:r>
              <w:rPr>
                <w:rFonts w:ascii="Times New Roman" w:hAnsi="Times New Roman"/>
                <w:b w:val="0"/>
                <w:i w:val="0"/>
                <w:color w:val="000000"/>
                <w:sz w:val="16"/>
              </w:rPr>
              <w:t>Standalone RoBERTa</w:t>
            </w:r>
          </w:p>
        </w:tc>
        <w:tc>
          <w:tcPr>
            <w:tcW w:type="dxa" w:w="1160"/>
          </w:tcPr>
          <w:p>
            <w:pPr>
              <w:jc w:val="center"/>
            </w:pPr>
            <w:r>
              <w:rPr>
                <w:rFonts w:ascii="Times New Roman" w:hAnsi="Times New Roman"/>
                <w:b w:val="0"/>
                <w:i w:val="0"/>
                <w:color w:val="000000"/>
                <w:sz w:val="16"/>
              </w:rPr>
              <w:t>98.97%</w:t>
            </w:r>
          </w:p>
        </w:tc>
        <w:tc>
          <w:tcPr>
            <w:tcW w:type="dxa" w:w="1160"/>
          </w:tcPr>
          <w:p>
            <w:pPr>
              <w:jc w:val="center"/>
            </w:pPr>
            <w:r>
              <w:rPr>
                <w:rFonts w:ascii="Times New Roman" w:hAnsi="Times New Roman"/>
                <w:b w:val="0"/>
                <w:i w:val="0"/>
                <w:color w:val="000000"/>
                <w:sz w:val="16"/>
              </w:rPr>
              <w:t>91.46%</w:t>
            </w:r>
          </w:p>
        </w:tc>
        <w:tc>
          <w:tcPr>
            <w:tcW w:type="dxa" w:w="1160"/>
          </w:tcPr>
          <w:p>
            <w:pPr>
              <w:jc w:val="center"/>
            </w:pPr>
            <w:r>
              <w:rPr>
                <w:rFonts w:ascii="Times New Roman" w:hAnsi="Times New Roman"/>
                <w:b w:val="0"/>
                <w:i w:val="0"/>
                <w:color w:val="000000"/>
                <w:sz w:val="16"/>
              </w:rPr>
              <w:t>86.71%</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99.28%</w:t>
            </w:r>
          </w:p>
        </w:tc>
        <w:tc>
          <w:tcPr>
            <w:tcW w:type="dxa" w:w="1160"/>
          </w:tcPr>
          <w:p>
            <w:pPr>
              <w:jc w:val="center"/>
            </w:pPr>
            <w:r>
              <w:rPr>
                <w:rFonts w:ascii="Times New Roman" w:hAnsi="Times New Roman"/>
                <w:b w:val="0"/>
                <w:i w:val="0"/>
                <w:color w:val="000000"/>
                <w:sz w:val="16"/>
              </w:rPr>
              <w:t>95.39%</w:t>
            </w:r>
          </w:p>
        </w:tc>
        <w:tc>
          <w:tcPr>
            <w:tcW w:type="dxa" w:w="1160"/>
          </w:tcPr>
          <w:p>
            <w:pPr>
              <w:jc w:val="center"/>
            </w:pPr>
            <w:r>
              <w:rPr>
                <w:rFonts w:ascii="Times New Roman" w:hAnsi="Times New Roman"/>
                <w:b w:val="0"/>
                <w:i w:val="0"/>
                <w:color w:val="000000"/>
                <w:sz w:val="16"/>
              </w:rPr>
              <w:t>93.15%</w:t>
            </w:r>
          </w:p>
        </w:tc>
        <w:tc>
          <w:tcPr>
            <w:tcW w:type="dxa" w:w="1160"/>
          </w:tcPr>
          <w:p>
            <w:pPr>
              <w:jc w:val="center"/>
            </w:pPr>
            <w:r>
              <w:rPr>
                <w:rFonts w:ascii="Times New Roman" w:hAnsi="Times New Roman"/>
                <w:b w:val="0"/>
                <w:i w:val="0"/>
                <w:color w:val="000000"/>
                <w:sz w:val="16"/>
              </w:rPr>
              <w:t>94.24%</w:t>
            </w:r>
          </w:p>
        </w:tc>
      </w:tr>
      <w:tr>
        <w:tc>
          <w:tcPr>
            <w:tcW w:type="dxa" w:w="1160"/>
          </w:tcPr>
          <w:p>
            <w:pPr>
              <w:jc w:val="left"/>
            </w:pPr>
            <w:r>
              <w:rPr>
                <w:rFonts w:ascii="Times New Roman" w:hAnsi="Times New Roman"/>
                <w:b/>
                <w:i w:val="0"/>
                <w:color w:val="000000"/>
                <w:sz w:val="16"/>
              </w:rPr>
              <w:t>Proposed BERT-BiLSTM</w:t>
            </w:r>
          </w:p>
        </w:tc>
        <w:tc>
          <w:tcPr>
            <w:tcW w:type="dxa" w:w="1160"/>
          </w:tcPr>
          <w:p>
            <w:pPr>
              <w:jc w:val="center"/>
            </w:pPr>
            <w:r>
              <w:rPr>
                <w:rFonts w:ascii="Times New Roman" w:hAnsi="Times New Roman"/>
                <w:b/>
                <w:i w:val="0"/>
                <w:color w:val="000000"/>
                <w:sz w:val="16"/>
              </w:rPr>
              <w:t>98.91%</w:t>
            </w:r>
          </w:p>
        </w:tc>
        <w:tc>
          <w:tcPr>
            <w:tcW w:type="dxa" w:w="1160"/>
          </w:tcPr>
          <w:p>
            <w:pPr>
              <w:jc w:val="center"/>
            </w:pPr>
            <w:r>
              <w:rPr>
                <w:rFonts w:ascii="Times New Roman" w:hAnsi="Times New Roman"/>
                <w:b/>
                <w:i w:val="0"/>
                <w:color w:val="000000"/>
                <w:sz w:val="16"/>
              </w:rPr>
              <w:t>92.41%</w:t>
            </w:r>
          </w:p>
        </w:tc>
        <w:tc>
          <w:tcPr>
            <w:tcW w:type="dxa" w:w="1160"/>
          </w:tcPr>
          <w:p>
            <w:pPr>
              <w:jc w:val="center"/>
            </w:pPr>
            <w:r>
              <w:rPr>
                <w:rFonts w:ascii="Times New Roman" w:hAnsi="Times New Roman"/>
                <w:b/>
                <w:i w:val="0"/>
                <w:color w:val="000000"/>
                <w:sz w:val="16"/>
              </w:rPr>
              <w:t>84.39%</w:t>
            </w:r>
          </w:p>
        </w:tc>
        <w:tc>
          <w:tcPr>
            <w:tcW w:type="dxa" w:w="1160"/>
          </w:tcPr>
          <w:p>
            <w:pPr>
              <w:jc w:val="center"/>
            </w:pPr>
            <w:r>
              <w:rPr>
                <w:rFonts w:ascii="Times New Roman" w:hAnsi="Times New Roman"/>
                <w:b/>
                <w:i w:val="0"/>
                <w:color w:val="000000"/>
                <w:sz w:val="16"/>
              </w:rPr>
              <w:t>88.22%</w:t>
            </w:r>
          </w:p>
        </w:tc>
        <w:tc>
          <w:tcPr>
            <w:tcW w:type="dxa" w:w="1160"/>
          </w:tcPr>
          <w:p>
            <w:pPr>
              <w:jc w:val="center"/>
            </w:pPr>
            <w:r>
              <w:rPr>
                <w:rFonts w:ascii="Times New Roman" w:hAnsi="Times New Roman"/>
                <w:b/>
                <w:i w:val="0"/>
                <w:color w:val="000000"/>
                <w:sz w:val="16"/>
              </w:rPr>
              <w:t>98.75%</w:t>
            </w:r>
          </w:p>
        </w:tc>
        <w:tc>
          <w:tcPr>
            <w:tcW w:type="dxa" w:w="1160"/>
          </w:tcPr>
          <w:p>
            <w:pPr>
              <w:jc w:val="center"/>
            </w:pPr>
            <w:r>
              <w:rPr>
                <w:rFonts w:ascii="Times New Roman" w:hAnsi="Times New Roman"/>
                <w:b/>
                <w:i w:val="0"/>
                <w:color w:val="000000"/>
                <w:sz w:val="16"/>
              </w:rPr>
              <w:t>95.81%</w:t>
            </w:r>
          </w:p>
        </w:tc>
        <w:tc>
          <w:tcPr>
            <w:tcW w:type="dxa" w:w="1160"/>
          </w:tcPr>
          <w:p>
            <w:pPr>
              <w:jc w:val="center"/>
            </w:pPr>
            <w:r>
              <w:rPr>
                <w:rFonts w:ascii="Times New Roman" w:hAnsi="Times New Roman"/>
                <w:b/>
                <w:i w:val="0"/>
                <w:color w:val="000000"/>
                <w:sz w:val="16"/>
              </w:rPr>
              <w:t>92.02%</w:t>
            </w:r>
          </w:p>
        </w:tc>
        <w:tc>
          <w:tcPr>
            <w:tcW w:type="dxa" w:w="1160"/>
          </w:tcPr>
          <w:p>
            <w:pPr>
              <w:jc w:val="center"/>
            </w:pPr>
            <w:r>
              <w:rPr>
                <w:rFonts w:ascii="Times New Roman" w:hAnsi="Times New Roman"/>
                <w:b/>
                <w:i w:val="0"/>
                <w:color w:val="000000"/>
                <w:sz w:val="16"/>
              </w:rPr>
              <w:t>93.82%</w:t>
            </w:r>
          </w:p>
        </w:tc>
      </w:tr>
    </w:tbl>
    <w:p>
      <w:pPr>
        <w:spacing w:before="80" w:after="160"/>
        <w:jc w:val="center"/>
      </w:pPr>
      <w:r>
        <w:rPr>
          <w:rFonts w:ascii="Times New Roman" w:hAnsi="Times New Roman"/>
          <w:b/>
          <w:i w:val="0"/>
          <w:color w:val="000000"/>
          <w:sz w:val="16"/>
        </w:rPr>
        <w:t>TABLE I. Model Performance Comparison on EMSCAD Test Set</w:t>
      </w:r>
    </w:p>
    <w:p>
      <w:pPr>
        <w:spacing w:line="252" w:lineRule="auto" w:after="80"/>
        <w:ind w:firstLine="216"/>
        <w:jc w:val="both"/>
      </w:pPr>
      <w:r>
        <w:rPr>
          <w:rFonts w:ascii="Times New Roman" w:hAnsi="Times New Roman"/>
          <w:b w:val="0"/>
          <w:i w:val="0"/>
          <w:color w:val="000000"/>
          <w:sz w:val="20"/>
        </w:rPr>
        <w:t xml:space="preserve">As seen in Table I, traditional machine learning models show low F1-scores. Random Forest achieves high precision but poor recall (55.49%), while Logistic Regression achieves a higher recall of 89.02% but suffers from a low precision of 62.10%. The standard Bi-LSTM baseline obtains a Class 1 F1-score of 80.46%. The fine-tuned Standalone BERT baseline achieves a Class 1 F1-score of 89.68% and a macro F1-score of 94.58%, outperforming the original paper's reported macro F1-score of 93.00%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 The proposed BERT-BiLSTM framework obtains a Class 1 F1-score of 88.22% and a macro F1-score of 93.82%, demonstrating competitive performance while preserving the full sequence of intermediate tokens.</w:t>
      </w:r>
    </w:p>
    <w:p>
      <w:pPr>
        <w:spacing w:before="160" w:after="80"/>
        <w:jc w:val="center"/>
      </w:pPr>
      <w:r>
        <w:drawing>
          <wp:inline xmlns:a="http://schemas.openxmlformats.org/drawingml/2006/main" xmlns:pic="http://schemas.openxmlformats.org/drawingml/2006/picture">
            <wp:extent cx="2926080" cy="2340864"/>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2. ROC Curves comparison on the test set.</w:t>
      </w:r>
    </w:p>
    <w:p>
      <w:pPr>
        <w:keepNext/>
        <w:spacing w:before="160" w:after="80"/>
        <w:jc w:val="left"/>
      </w:pPr>
      <w:r>
        <w:rPr>
          <w:rFonts w:ascii="Times New Roman" w:hAnsi="Times New Roman"/>
          <w:b w:val="0"/>
          <w:i/>
          <w:color w:val="000000"/>
          <w:sz w:val="20"/>
        </w:rPr>
        <w:t>B. Explainability Analysis using SHAP</w:t>
      </w:r>
    </w:p>
    <w:p>
      <w:pPr>
        <w:spacing w:line="252" w:lineRule="auto" w:after="80"/>
        <w:ind w:firstLine="216"/>
        <w:jc w:val="both"/>
      </w:pPr>
      <w:r>
        <w:rPr>
          <w:rFonts w:ascii="Times New Roman" w:hAnsi="Times New Roman"/>
          <w:b w:val="0"/>
          <w:i w:val="0"/>
          <w:color w:val="000000"/>
          <w:sz w:val="20"/>
        </w:rPr>
        <w:t>To resolve the black-box limitation of previous deep learning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spacing w:before="160" w:after="8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3. Mean SHAP Values of top fraudulent and genuine text indicators.</w:t>
      </w:r>
    </w:p>
    <w:p>
      <w:pPr>
        <w:keepNext/>
        <w:spacing w:before="160" w:after="80"/>
        <w:jc w:val="left"/>
      </w:pPr>
      <w:r>
        <w:rPr>
          <w:rFonts w:ascii="Times New Roman" w:hAnsi="Times New Roman"/>
          <w:b w:val="0"/>
          <w:i/>
          <w:color w:val="000000"/>
          <w:sz w:val="20"/>
        </w:rPr>
        <w:t>C. Error Analysis</w:t>
      </w:r>
    </w:p>
    <w:p>
      <w:pPr>
        <w:spacing w:line="252" w:lineRule="auto" w:after="8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hybrid BERT-BiLSTM model.</w:t>
      </w:r>
    </w:p>
    <w:p>
      <w:pPr>
        <w:keepNext/>
        <w:spacing w:before="24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 hybrid BERT-BiLSTM framework for online recruitment fraud detection. By combining a transformer backbone with a sequential recurrent network, our model extracts contextual features while preserving sequence dependencies. Evaluated on the EMSCAD dataset, our model achieves a macro F1-score of 93.82% and a Class 1 F1-score of 88.22%.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4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