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Context-Aware BERT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376939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651760" cy="3769394"/>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Explainable BERT model.</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Classification Model</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80" w:after="8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80" w:after="8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6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160" w:after="60"/>
        <w:jc w:val="left"/>
      </w:pPr>
      <w:r>
        <w:rPr>
          <w:rFonts w:ascii="Times New Roman" w:hAnsi="Times New Roman"/>
          <w:b w:val="0"/>
          <w:i/>
          <w:color w:val="000000"/>
          <w:sz w:val="20"/>
        </w:rPr>
        <w:t>C. Class-Weighted Loss</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160" w:after="60"/>
        <w:jc w:val="left"/>
      </w:pPr>
      <w:r>
        <w:rPr>
          <w:rFonts w:ascii="Times New Roman" w:hAnsi="Times New Roman"/>
          <w:b w:val="0"/>
          <w:i/>
          <w:color w:val="000000"/>
          <w:sz w:val="20"/>
        </w:rPr>
        <w:t>D. SHAP Explainability</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keepNext/>
        <w:spacing w:before="120" w:after="40"/>
        <w:jc w:val="center"/>
      </w:pPr>
      <w:r>
        <w:drawing>
          <wp:inline xmlns:a="http://schemas.openxmlformats.org/drawingml/2006/main" xmlns:pic="http://schemas.openxmlformats.org/drawingml/2006/picture">
            <wp:extent cx="2651760" cy="208352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83526"/>
                    </a:xfrm>
                    <a:prstGeom prst="rect"/>
                  </pic:spPr>
                </pic:pic>
              </a:graphicData>
            </a:graphic>
          </wp:inline>
        </w:drawing>
      </w:r>
    </w:p>
    <w:p>
      <w:pPr>
        <w:spacing w:after="120"/>
        <w:jc w:val="center"/>
      </w:pPr>
      <w:r>
        <w:rPr>
          <w:rFonts w:ascii="Times New Roman" w:hAnsi="Times New Roman"/>
          <w:b w:val="0"/>
          <w:i w:val="0"/>
          <w:color w:val="000000"/>
          <w:sz w:val="16"/>
        </w:rPr>
        <w:t>Fig. 2. ROC Curves comparison on the test set.</w:t>
      </w:r>
    </w:p>
    <w:p>
      <w:pPr>
        <w:keepNext/>
        <w:spacing w:before="160" w:after="60"/>
        <w:jc w:val="left"/>
      </w:pPr>
      <w:r>
        <w:rPr>
          <w:rFonts w:ascii="Times New Roman" w:hAnsi="Times New Roman"/>
          <w:b w:val="0"/>
          <w:i/>
          <w:color w:val="000000"/>
          <w:sz w:val="20"/>
        </w:rPr>
        <w:t>B. Cross-Domain Generalization Analysis</w:t>
      </w:r>
    </w:p>
    <w:p>
      <w:pPr>
        <w:spacing w:line="252"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60" w:after="60"/>
        <w:jc w:val="left"/>
      </w:pPr>
      <w:r>
        <w:rPr>
          <w:rFonts w:ascii="Times New Roman" w:hAnsi="Times New Roman"/>
          <w:b w:val="0"/>
          <w:i/>
          <w:color w:val="000000"/>
          <w:sz w:val="20"/>
        </w:rPr>
        <w:t>C. Statistical Significance Testing</w:t>
      </w:r>
    </w:p>
    <w:p>
      <w:pPr>
        <w:spacing w:line="252" w:lineRule="auto" w:after="6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160" w:after="60"/>
        <w:jc w:val="left"/>
      </w:pPr>
      <w:r>
        <w:rPr>
          <w:rFonts w:ascii="Times New Roman" w:hAnsi="Times New Roman"/>
          <w:b w:val="0"/>
          <w:i/>
          <w:color w:val="000000"/>
          <w:sz w:val="20"/>
        </w:rPr>
        <w:t>D. Explainability Analysis using SHAP</w:t>
      </w:r>
    </w:p>
    <w:p>
      <w:pPr>
        <w:spacing w:line="252" w:lineRule="auto" w:after="6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E. Error Analysis</w:t>
      </w:r>
    </w:p>
    <w:p>
      <w:pPr>
        <w:spacing w:line="252" w:lineRule="auto" w:after="6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BERT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