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Sequence-Preserving BERT-BiLSTM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Evaluated on the EMSCAD dataset, the proposed model achieves a classification accuracy of 99.02%, a Class 1 (Fraudulent) precision of 94.23%, recall of 84.97%, F1-score of 89.36%, a macro-averaged F1-score of 94.42%, and a ROC-AUC of 99.02%. This setup outperforms the published Fraud-BERT baseline across all evaluated metrics and provides a transparent classification pipeline.</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class-specific, macro-averaged, and weighted-average classification metrics.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80"/>
        <w:ind w:firstLine="216"/>
        <w:jc w:val="both"/>
      </w:pPr>
      <w:r>
        <w:rPr>
          <w:rFonts w:ascii="Times New Roman" w:hAnsi="Times New Roman"/>
          <w:b w:val="0"/>
          <w:i w:val="0"/>
          <w:color w:val="000000"/>
          <w:sz w:val="20"/>
        </w:rPr>
        <w:t xml:space="preserve">More recently, hybrid frameworks have been explored. Srilakshmi et al.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and Varshitha et al. </w:t>
      </w:r>
      <w:hyperlink w:anchor="ref_8">
        <w:r>
          <w:rPr>
            <w:rFonts w:ascii="Times New Roman" w:hAnsi="Times New Roman"/>
            <w:sz w:val="20"/>
            <w:u w:val="single"/>
            <w:color w:val="0000FF"/>
          </w:rPr>
          <w:t>[8]</w:t>
        </w:r>
      </w:hyperlink>
      <w:r>
        <w:rPr>
          <w:rFonts w:ascii="Times New Roman" w:hAnsi="Times New Roman"/>
          <w:b w:val="0"/>
          <w:i w:val="0"/>
          <w:color w:val="000000"/>
          <w:sz w:val="20"/>
        </w:rPr>
        <w:t xml:space="preserve"> proposed architectures combining BERT/RoBERTa with a 2D Convolutional Neural Network (CNN2D) classifier, using oversampling methods to mitigate dataset imbalance. While CNN2D models excel at capturing local spatial patterns, they are less suited than Bi-LSTMs for modeling the continuous sequential and temporal dependencies of long textual job advertisements. 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89663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926080" cy="4896638"/>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Hybrid BERT-BiLSTM framework.</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Embedding Extraction</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120" w:after="12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8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200" w:after="80"/>
        <w:jc w:val="left"/>
      </w:pPr>
      <w:r>
        <w:rPr>
          <w:rFonts w:ascii="Times New Roman" w:hAnsi="Times New Roman"/>
          <w:b w:val="0"/>
          <w:i/>
          <w:color w:val="000000"/>
          <w:sz w:val="20"/>
        </w:rPr>
        <w:t>C. Bi-LSTM Sequential Classification</w:t>
      </w:r>
    </w:p>
    <w:p>
      <w:pPr>
        <w:spacing w:line="252" w:lineRule="auto" w:after="8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120" w:after="12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120" w:after="12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For each token t, the directional hidden states are concatenated to form the complete state:</w:t>
      </w:r>
    </w:p>
    <w:p>
      <w:pPr>
        <w:spacing w:before="120" w:after="12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120" w:after="12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80"/>
        <w:ind w:firstLine="216"/>
        <w:jc w:val="both"/>
      </w:pPr>
      <w:r>
        <w:rPr>
          <w:rFonts w:ascii="Times New Roman" w:hAnsi="Times New Roman"/>
          <w:b w:val="0"/>
          <w:i w:val="0"/>
          <w:color w:val="000000"/>
          <w:sz w:val="20"/>
        </w:rPr>
        <w:t>This representation is passed to a dense dropout classifier to compute the class logits:</w:t>
      </w:r>
    </w:p>
    <w:p>
      <w:pPr>
        <w:spacing w:before="120" w:after="12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80"/>
        <w:ind w:firstLine="216"/>
        <w:jc w:val="both"/>
      </w:pPr>
      <w:r>
        <w:rPr>
          <w:rFonts w:ascii="Times New Roman" w:hAnsi="Times New Roman"/>
          <w:b w:val="0"/>
          <w:i w:val="0"/>
          <w:color w:val="000000"/>
          <w:sz w:val="20"/>
        </w:rPr>
        <w:t>where we set $w_{pos} = 2.0$ to maintain an optimal balance between precision and recall.</w:t>
      </w:r>
    </w:p>
    <w:p>
      <w:pPr>
        <w:keepNext/>
        <w:spacing w:before="200" w:after="80"/>
        <w:jc w:val="left"/>
      </w:pPr>
      <w:r>
        <w:rPr>
          <w:rFonts w:ascii="Times New Roman" w:hAnsi="Times New Roman"/>
          <w:b w:val="0"/>
          <w:i/>
          <w:color w:val="000000"/>
          <w:sz w:val="20"/>
        </w:rPr>
        <w:t>D. Explainable AI using SHAP</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and (5) Standalone RoBERTa Classifier.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 and Comparison</w:t>
      </w:r>
    </w:p>
    <w:p>
      <w:pPr>
        <w:spacing w:line="252" w:lineRule="auto" w:after="80"/>
        <w:ind w:firstLine="216"/>
        <w:jc w:val="both"/>
      </w:pPr>
      <w:r>
        <w:rPr>
          <w:rFonts w:ascii="Times New Roman" w:hAnsi="Times New Roman"/>
          <w:b w:val="0"/>
          <w:i w:val="0"/>
          <w:color w:val="000000"/>
          <w:sz w:val="20"/>
        </w:rPr>
        <w:t xml:space="preserve">The performance of all evaluated models on the test set is summarized in Table I. Following standard reporting practices in imbalanced learning and the benchmark study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Class 1 (Fraudulent) metrics, Macro-averaged metrics, and overall Accuracy.</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Fraud-BERT Baseline [1]</w:t>
            </w:r>
          </w:p>
        </w:tc>
        <w:tc>
          <w:tcPr>
            <w:tcW w:type="dxa" w:w="1160"/>
          </w:tcPr>
          <w:p>
            <w:pPr>
              <w:jc w:val="center"/>
            </w:pPr>
            <w:r>
              <w:rPr>
                <w:rFonts w:ascii="Times New Roman" w:hAnsi="Times New Roman"/>
                <w:b w:val="0"/>
                <w:i w:val="0"/>
                <w:color w:val="000000"/>
                <w:sz w:val="16"/>
              </w:rPr>
              <w:t>98.71%</w:t>
            </w:r>
          </w:p>
        </w:tc>
        <w:tc>
          <w:tcPr>
            <w:tcW w:type="dxa" w:w="1160"/>
          </w:tcPr>
          <w:p>
            <w:pPr>
              <w:jc w:val="center"/>
            </w:pPr>
            <w:r>
              <w:rPr>
                <w:rFonts w:ascii="Times New Roman" w:hAnsi="Times New Roman"/>
                <w:b w:val="0"/>
                <w:i w:val="0"/>
                <w:color w:val="000000"/>
                <w:sz w:val="16"/>
              </w:rPr>
              <w:t>88.96%</w:t>
            </w:r>
          </w:p>
        </w:tc>
        <w:tc>
          <w:tcPr>
            <w:tcW w:type="dxa" w:w="1160"/>
          </w:tcPr>
          <w:p>
            <w:pPr>
              <w:jc w:val="center"/>
            </w:pPr>
            <w:r>
              <w:rPr>
                <w:rFonts w:ascii="Times New Roman" w:hAnsi="Times New Roman"/>
                <w:b w:val="0"/>
                <w:i w:val="0"/>
                <w:color w:val="000000"/>
                <w:sz w:val="16"/>
              </w:rPr>
              <w:t>83.82%</w:t>
            </w:r>
          </w:p>
        </w:tc>
        <w:tc>
          <w:tcPr>
            <w:tcW w:type="dxa" w:w="1160"/>
          </w:tcPr>
          <w:p>
            <w:pPr>
              <w:jc w:val="center"/>
            </w:pPr>
            <w:r>
              <w:rPr>
                <w:rFonts w:ascii="Times New Roman" w:hAnsi="Times New Roman"/>
                <w:b w:val="0"/>
                <w:i w:val="0"/>
                <w:color w:val="000000"/>
                <w:sz w:val="16"/>
              </w:rPr>
              <w:t>86.31%</w:t>
            </w:r>
          </w:p>
        </w:tc>
        <w:tc>
          <w:tcPr>
            <w:tcW w:type="dxa" w:w="1160"/>
          </w:tcPr>
          <w:p>
            <w:pPr>
              <w:jc w:val="center"/>
            </w:pPr>
            <w:r>
              <w:rPr>
                <w:rFonts w:ascii="Times New Roman" w:hAnsi="Times New Roman"/>
                <w:b w:val="0"/>
                <w:i w:val="0"/>
                <w:color w:val="000000"/>
                <w:sz w:val="16"/>
              </w:rPr>
              <w:t>98.60%</w:t>
            </w:r>
          </w:p>
        </w:tc>
        <w:tc>
          <w:tcPr>
            <w:tcW w:type="dxa" w:w="1160"/>
          </w:tcPr>
          <w:p>
            <w:pPr>
              <w:jc w:val="center"/>
            </w:pPr>
            <w:r>
              <w:rPr>
                <w:rFonts w:ascii="Times New Roman" w:hAnsi="Times New Roman"/>
                <w:b w:val="0"/>
                <w:i w:val="0"/>
                <w:color w:val="000000"/>
                <w:sz w:val="16"/>
              </w:rPr>
              <w:t>94.07%</w:t>
            </w:r>
          </w:p>
        </w:tc>
        <w:tc>
          <w:tcPr>
            <w:tcW w:type="dxa" w:w="1160"/>
          </w:tcPr>
          <w:p>
            <w:pPr>
              <w:jc w:val="center"/>
            </w:pPr>
            <w:r>
              <w:rPr>
                <w:rFonts w:ascii="Times New Roman" w:hAnsi="Times New Roman"/>
                <w:b w:val="0"/>
                <w:i w:val="0"/>
                <w:color w:val="000000"/>
                <w:sz w:val="16"/>
              </w:rPr>
              <w:t>91.65%</w:t>
            </w:r>
          </w:p>
        </w:tc>
        <w:tc>
          <w:tcPr>
            <w:tcW w:type="dxa" w:w="1160"/>
          </w:tcPr>
          <w:p>
            <w:pPr>
              <w:jc w:val="center"/>
            </w:pPr>
            <w:r>
              <w:rPr>
                <w:rFonts w:ascii="Times New Roman" w:hAnsi="Times New Roman"/>
                <w:b w:val="0"/>
                <w:i w:val="0"/>
                <w:color w:val="000000"/>
                <w:sz w:val="16"/>
              </w:rPr>
              <w:t>92.82%</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BERT-BiLSTM</w:t>
            </w:r>
          </w:p>
        </w:tc>
        <w:tc>
          <w:tcPr>
            <w:tcW w:type="dxa" w:w="1160"/>
          </w:tcPr>
          <w:p>
            <w:pPr>
              <w:jc w:val="center"/>
            </w:pPr>
            <w:r>
              <w:rPr>
                <w:rFonts w:ascii="Times New Roman" w:hAnsi="Times New Roman"/>
                <w:b/>
                <w:i w:val="0"/>
                <w:color w:val="000000"/>
                <w:sz w:val="16"/>
              </w:rPr>
              <w:t>99.02%</w:t>
            </w:r>
          </w:p>
        </w:tc>
        <w:tc>
          <w:tcPr>
            <w:tcW w:type="dxa" w:w="1160"/>
          </w:tcPr>
          <w:p>
            <w:pPr>
              <w:jc w:val="center"/>
            </w:pPr>
            <w:r>
              <w:rPr>
                <w:rFonts w:ascii="Times New Roman" w:hAnsi="Times New Roman"/>
                <w:b/>
                <w:i w:val="0"/>
                <w:color w:val="000000"/>
                <w:sz w:val="16"/>
              </w:rPr>
              <w:t>94.23%</w:t>
            </w:r>
          </w:p>
        </w:tc>
        <w:tc>
          <w:tcPr>
            <w:tcW w:type="dxa" w:w="1160"/>
          </w:tcPr>
          <w:p>
            <w:pPr>
              <w:jc w:val="center"/>
            </w:pPr>
            <w:r>
              <w:rPr>
                <w:rFonts w:ascii="Times New Roman" w:hAnsi="Times New Roman"/>
                <w:b/>
                <w:i w:val="0"/>
                <w:color w:val="000000"/>
                <w:sz w:val="16"/>
              </w:rPr>
              <w:t>84.97%</w:t>
            </w:r>
          </w:p>
        </w:tc>
        <w:tc>
          <w:tcPr>
            <w:tcW w:type="dxa" w:w="1160"/>
          </w:tcPr>
          <w:p>
            <w:pPr>
              <w:jc w:val="center"/>
            </w:pPr>
            <w:r>
              <w:rPr>
                <w:rFonts w:ascii="Times New Roman" w:hAnsi="Times New Roman"/>
                <w:b/>
                <w:i w:val="0"/>
                <w:color w:val="000000"/>
                <w:sz w:val="16"/>
              </w:rPr>
              <w:t>89.36%</w:t>
            </w:r>
          </w:p>
        </w:tc>
        <w:tc>
          <w:tcPr>
            <w:tcW w:type="dxa" w:w="1160"/>
          </w:tcPr>
          <w:p>
            <w:pPr>
              <w:jc w:val="center"/>
            </w:pPr>
            <w:r>
              <w:rPr>
                <w:rFonts w:ascii="Times New Roman" w:hAnsi="Times New Roman"/>
                <w:b/>
                <w:i w:val="0"/>
                <w:color w:val="000000"/>
                <w:sz w:val="16"/>
              </w:rPr>
              <w:t>99.02%</w:t>
            </w:r>
          </w:p>
        </w:tc>
        <w:tc>
          <w:tcPr>
            <w:tcW w:type="dxa" w:w="1160"/>
          </w:tcPr>
          <w:p>
            <w:pPr>
              <w:jc w:val="center"/>
            </w:pPr>
            <w:r>
              <w:rPr>
                <w:rFonts w:ascii="Times New Roman" w:hAnsi="Times New Roman"/>
                <w:b/>
                <w:i w:val="0"/>
                <w:color w:val="000000"/>
                <w:sz w:val="16"/>
              </w:rPr>
              <w:t>96.74%</w:t>
            </w:r>
          </w:p>
        </w:tc>
        <w:tc>
          <w:tcPr>
            <w:tcW w:type="dxa" w:w="1160"/>
          </w:tcPr>
          <w:p>
            <w:pPr>
              <w:jc w:val="center"/>
            </w:pPr>
            <w:r>
              <w:rPr>
                <w:rFonts w:ascii="Times New Roman" w:hAnsi="Times New Roman"/>
                <w:b/>
                <w:i w:val="0"/>
                <w:color w:val="000000"/>
                <w:sz w:val="16"/>
              </w:rPr>
              <w:t>92.35%</w:t>
            </w:r>
          </w:p>
        </w:tc>
        <w:tc>
          <w:tcPr>
            <w:tcW w:type="dxa" w:w="1160"/>
          </w:tcPr>
          <w:p>
            <w:pPr>
              <w:jc w:val="center"/>
            </w:pPr>
            <w:r>
              <w:rPr>
                <w:rFonts w:ascii="Times New Roman" w:hAnsi="Times New Roman"/>
                <w:b/>
                <w:i w:val="0"/>
                <w:color w:val="000000"/>
                <w:sz w:val="16"/>
              </w:rPr>
              <w:t>94.42%</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presented in Table I, traditional machine learning baselines suffer from severe class skew. Random Forest achieves high precision on fraudulent posts but misses nearly half of them (recall of 55.49%), while Logistic Regression catches more fraud (recall of 89.02%) at the cost of excessive false alarms (precision of 62.10%). The standalone Bi-LSTM baseline achieves an F1-score of 80.46%.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delivers an accuracy of 98.71%, a Class 1 F1-score of 86.31%, and a macro F1-score of 92.82% (reported as 0.93 in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spacing w:line="252" w:lineRule="auto" w:after="80"/>
        <w:ind w:firstLine="216"/>
        <w:jc w:val="both"/>
      </w:pPr>
      <w:r>
        <w:rPr>
          <w:rFonts w:ascii="Times New Roman" w:hAnsi="Times New Roman"/>
          <w:b w:val="0"/>
          <w:i w:val="0"/>
          <w:color w:val="000000"/>
          <w:sz w:val="20"/>
        </w:rPr>
        <w:t xml:space="preserve">The proposed BERT-BiLSTM framework outperforms all competing models across every primary dimension. It achieves a top classification accuracy of </w:t>
      </w:r>
      <w:r>
        <w:rPr>
          <w:rFonts w:ascii="Times New Roman" w:hAnsi="Times New Roman"/>
          <w:b/>
          <w:i w:val="0"/>
          <w:color w:val="000000"/>
          <w:sz w:val="20"/>
        </w:rPr>
        <w:t>99.02%</w:t>
      </w:r>
      <w:r>
        <w:rPr>
          <w:rFonts w:ascii="Times New Roman" w:hAnsi="Times New Roman"/>
          <w:b w:val="0"/>
          <w:i w:val="0"/>
          <w:color w:val="000000"/>
          <w:sz w:val="20"/>
        </w:rPr>
        <w:t xml:space="preserve">, a Class 1 precision of </w:t>
      </w:r>
      <w:r>
        <w:rPr>
          <w:rFonts w:ascii="Times New Roman" w:hAnsi="Times New Roman"/>
          <w:b/>
          <w:i w:val="0"/>
          <w:color w:val="000000"/>
          <w:sz w:val="20"/>
        </w:rPr>
        <w:t>94.23%</w:t>
      </w:r>
      <w:r>
        <w:rPr>
          <w:rFonts w:ascii="Times New Roman" w:hAnsi="Times New Roman"/>
          <w:b w:val="0"/>
          <w:i w:val="0"/>
          <w:color w:val="000000"/>
          <w:sz w:val="20"/>
        </w:rPr>
        <w:t xml:space="preserve">, a Class 1 recall of </w:t>
      </w:r>
      <w:r>
        <w:rPr>
          <w:rFonts w:ascii="Times New Roman" w:hAnsi="Times New Roman"/>
          <w:b/>
          <w:i w:val="0"/>
          <w:color w:val="000000"/>
          <w:sz w:val="20"/>
        </w:rPr>
        <w:t>84.97%</w:t>
      </w:r>
      <w:r>
        <w:rPr>
          <w:rFonts w:ascii="Times New Roman" w:hAnsi="Times New Roman"/>
          <w:b w:val="0"/>
          <w:i w:val="0"/>
          <w:color w:val="000000"/>
          <w:sz w:val="20"/>
        </w:rPr>
        <w:t xml:space="preserve"> (catching 147 out of 173 fraud cases vs. 145 in Fraud-BERT), and a Class 1 F1-score of </w:t>
      </w:r>
      <w:r>
        <w:rPr>
          <w:rFonts w:ascii="Times New Roman" w:hAnsi="Times New Roman"/>
          <w:b/>
          <w:i w:val="0"/>
          <w:color w:val="000000"/>
          <w:sz w:val="20"/>
        </w:rPr>
        <w:t>89.36%</w:t>
      </w:r>
      <w:r>
        <w:rPr>
          <w:rFonts w:ascii="Times New Roman" w:hAnsi="Times New Roman"/>
          <w:b w:val="0"/>
          <w:i w:val="0"/>
          <w:color w:val="000000"/>
          <w:sz w:val="20"/>
        </w:rPr>
        <w:t xml:space="preserve"> (+3.05% gain over Fraud-BERT). On macro-averaged metrics, our model reaches </w:t>
      </w:r>
      <w:r>
        <w:rPr>
          <w:rFonts w:ascii="Times New Roman" w:hAnsi="Times New Roman"/>
          <w:b/>
          <w:i w:val="0"/>
          <w:color w:val="000000"/>
          <w:sz w:val="20"/>
        </w:rPr>
        <w:t>96.74%</w:t>
      </w:r>
      <w:r>
        <w:rPr>
          <w:rFonts w:ascii="Times New Roman" w:hAnsi="Times New Roman"/>
          <w:b w:val="0"/>
          <w:i w:val="0"/>
          <w:color w:val="000000"/>
          <w:sz w:val="20"/>
        </w:rPr>
        <w:t xml:space="preserve"> precision, </w:t>
      </w:r>
      <w:r>
        <w:rPr>
          <w:rFonts w:ascii="Times New Roman" w:hAnsi="Times New Roman"/>
          <w:b/>
          <w:i w:val="0"/>
          <w:color w:val="000000"/>
          <w:sz w:val="20"/>
        </w:rPr>
        <w:t>92.35%</w:t>
      </w:r>
      <w:r>
        <w:rPr>
          <w:rFonts w:ascii="Times New Roman" w:hAnsi="Times New Roman"/>
          <w:b w:val="0"/>
          <w:i w:val="0"/>
          <w:color w:val="000000"/>
          <w:sz w:val="20"/>
        </w:rPr>
        <w:t xml:space="preserve"> recall, and </w:t>
      </w:r>
      <w:r>
        <w:rPr>
          <w:rFonts w:ascii="Times New Roman" w:hAnsi="Times New Roman"/>
          <w:b/>
          <w:i w:val="0"/>
          <w:color w:val="000000"/>
          <w:sz w:val="20"/>
        </w:rPr>
        <w:t>94.42%</w:t>
      </w:r>
      <w:r>
        <w:rPr>
          <w:rFonts w:ascii="Times New Roman" w:hAnsi="Times New Roman"/>
          <w:b w:val="0"/>
          <w:i w:val="0"/>
          <w:color w:val="000000"/>
          <w:sz w:val="20"/>
        </w:rPr>
        <w:t xml:space="preserve"> F1-score, establishing a decisive improvement over the 92.82% macro F1-score of Fraud-BERT. Furthermore, on weighted-average metrics, the proposed model obtains 0.99 precision, 0.99 recall, and 0.99 F1-score. This confirms that pairing transformer embeddings with sequential Bi-LSTM processing captures fraud signals more effectively than relying on the single [CLS] token alone.</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Multi-Model ROC Curves comparison on the test set.</w:t>
      </w:r>
    </w:p>
    <w:p>
      <w:pPr>
        <w:keepNext/>
        <w:spacing w:before="200" w:after="80"/>
        <w:jc w:val="left"/>
      </w:pPr>
      <w:r>
        <w:rPr>
          <w:rFonts w:ascii="Times New Roman" w:hAnsi="Times New Roman"/>
          <w:b w:val="0"/>
          <w:i/>
          <w:color w:val="000000"/>
          <w:sz w:val="20"/>
        </w:rPr>
        <w:t>B. Ablation Study</w:t>
      </w:r>
    </w:p>
    <w:p>
      <w:pPr>
        <w:spacing w:line="252" w:lineRule="auto" w:after="8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80" w:after="160"/>
        <w:jc w:val="center"/>
      </w:pPr>
      <w:r>
        <w:rPr>
          <w:rFonts w:ascii="Times New Roman" w:hAnsi="Times New Roman"/>
          <w:b/>
          <w:i w:val="0"/>
          <w:color w:val="000000"/>
          <w:sz w:val="16"/>
        </w:rPr>
        <w:t>TABLE II. Ablation Study of Proposed Architecture</w:t>
      </w:r>
    </w:p>
    <w:p>
      <w:pPr>
        <w:spacing w:line="252" w:lineRule="auto" w:after="8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200" w:after="80"/>
        <w:jc w:val="left"/>
      </w:pPr>
      <w:r>
        <w:rPr>
          <w:rFonts w:ascii="Times New Roman" w:hAnsi="Times New Roman"/>
          <w:b w:val="0"/>
          <w:i/>
          <w:color w:val="000000"/>
          <w:sz w:val="20"/>
        </w:rPr>
        <w:t>C. Cross-Domain Generalization Analysis</w:t>
      </w:r>
    </w:p>
    <w:p>
      <w:pPr>
        <w:spacing w:line="252" w:lineRule="auto" w:after="8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200" w:after="80"/>
        <w:jc w:val="left"/>
      </w:pPr>
      <w:r>
        <w:rPr>
          <w:rFonts w:ascii="Times New Roman" w:hAnsi="Times New Roman"/>
          <w:b w:val="0"/>
          <w:i/>
          <w:color w:val="000000"/>
          <w:sz w:val="20"/>
        </w:rPr>
        <w:t>D. Statistical Significance Testing</w:t>
      </w:r>
    </w:p>
    <w:p>
      <w:pPr>
        <w:spacing w:line="252" w:lineRule="auto" w:after="8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200" w:after="80"/>
        <w:jc w:val="left"/>
      </w:pPr>
      <w:r>
        <w:rPr>
          <w:rFonts w:ascii="Times New Roman" w:hAnsi="Times New Roman"/>
          <w:b w:val="0"/>
          <w:i/>
          <w:color w:val="000000"/>
          <w:sz w:val="20"/>
        </w:rPr>
        <w:t>E. Explainability Analysis using SHAP</w:t>
      </w:r>
    </w:p>
    <w:p>
      <w:pPr>
        <w:spacing w:line="252" w:lineRule="auto" w:after="8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F. Error Analysis</w:t>
      </w:r>
    </w:p>
    <w:p>
      <w:pPr>
        <w:spacing w:line="252" w:lineRule="auto" w:after="8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hybrid BERT-BiLSTM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an accuracy of 99.02%, a Class 1 F1-score of 89.36%, and a macro F1-score of 94.42%, outperforming the published Fraud-BERT baseline across all metrics. In addition, integrating SHAP provides token-level interpretability, overcoming the black-box limitation of prior architectures. Future work will explore incorporating structured non-textual features (such as salary brackets and posting metadata) and testing across multilingual job boards.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